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8B31" w14:textId="77777777" w:rsidR="002B48AC" w:rsidRDefault="00BA26AA">
      <w:pPr>
        <w:pStyle w:val="BodyText"/>
        <w:rPr>
          <w:rFonts w:ascii="Times New Roman"/>
          <w:sz w:val="20"/>
        </w:rPr>
      </w:pPr>
      <w:r>
        <w:rPr>
          <w:noProof/>
        </w:rPr>
        <w:drawing>
          <wp:anchor distT="0" distB="0" distL="0" distR="0" simplePos="0" relativeHeight="251297792" behindDoc="1" locked="0" layoutInCell="1" allowOverlap="1" wp14:anchorId="3D3B8C0D" wp14:editId="3D3B8C0E">
            <wp:simplePos x="0" y="0"/>
            <wp:positionH relativeFrom="page">
              <wp:posOffset>3538854</wp:posOffset>
            </wp:positionH>
            <wp:positionV relativeFrom="page">
              <wp:posOffset>0</wp:posOffset>
            </wp:positionV>
            <wp:extent cx="4232148" cy="17538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232148" cy="1753870"/>
                    </a:xfrm>
                    <a:prstGeom prst="rect">
                      <a:avLst/>
                    </a:prstGeom>
                  </pic:spPr>
                </pic:pic>
              </a:graphicData>
            </a:graphic>
          </wp:anchor>
        </w:drawing>
      </w:r>
    </w:p>
    <w:p w14:paraId="3D3B8B32" w14:textId="77777777" w:rsidR="002B48AC" w:rsidRDefault="002B48AC">
      <w:pPr>
        <w:pStyle w:val="BodyText"/>
        <w:rPr>
          <w:rFonts w:ascii="Times New Roman"/>
          <w:sz w:val="20"/>
        </w:rPr>
      </w:pPr>
    </w:p>
    <w:p w14:paraId="3D3B8B33" w14:textId="77777777" w:rsidR="002B48AC" w:rsidRDefault="002B48AC">
      <w:pPr>
        <w:pStyle w:val="BodyText"/>
        <w:rPr>
          <w:rFonts w:ascii="Times New Roman"/>
          <w:sz w:val="20"/>
        </w:rPr>
      </w:pPr>
    </w:p>
    <w:p w14:paraId="3D3B8B34" w14:textId="77777777" w:rsidR="002B48AC" w:rsidRDefault="002B48AC">
      <w:pPr>
        <w:pStyle w:val="BodyText"/>
        <w:rPr>
          <w:rFonts w:ascii="Times New Roman"/>
          <w:sz w:val="20"/>
        </w:rPr>
      </w:pPr>
    </w:p>
    <w:p w14:paraId="3D3B8B35" w14:textId="77777777" w:rsidR="002B48AC" w:rsidRDefault="002B48AC">
      <w:pPr>
        <w:pStyle w:val="BodyText"/>
        <w:rPr>
          <w:rFonts w:ascii="Times New Roman"/>
          <w:sz w:val="20"/>
        </w:rPr>
      </w:pPr>
    </w:p>
    <w:p w14:paraId="3D3B8B36" w14:textId="77777777" w:rsidR="002B48AC" w:rsidRDefault="002B48AC">
      <w:pPr>
        <w:pStyle w:val="BodyText"/>
        <w:rPr>
          <w:rFonts w:ascii="Times New Roman"/>
          <w:sz w:val="20"/>
        </w:rPr>
      </w:pPr>
    </w:p>
    <w:p w14:paraId="3D3B8B37" w14:textId="77777777" w:rsidR="002B48AC" w:rsidRDefault="002B48AC">
      <w:pPr>
        <w:pStyle w:val="BodyText"/>
        <w:rPr>
          <w:rFonts w:ascii="Times New Roman"/>
          <w:sz w:val="20"/>
        </w:rPr>
      </w:pPr>
    </w:p>
    <w:p w14:paraId="3D3B8B38" w14:textId="77777777" w:rsidR="002B48AC" w:rsidRDefault="002B48AC">
      <w:pPr>
        <w:pStyle w:val="BodyText"/>
        <w:rPr>
          <w:rFonts w:ascii="Times New Roman"/>
          <w:sz w:val="20"/>
        </w:rPr>
      </w:pPr>
    </w:p>
    <w:p w14:paraId="3D3B8B39" w14:textId="77777777" w:rsidR="002B48AC" w:rsidRDefault="002B48AC">
      <w:pPr>
        <w:pStyle w:val="BodyText"/>
        <w:spacing w:before="9"/>
        <w:rPr>
          <w:rFonts w:ascii="Times New Roman"/>
          <w:sz w:val="18"/>
        </w:rPr>
      </w:pPr>
    </w:p>
    <w:p w14:paraId="3D3B8B3A" w14:textId="77777777" w:rsidR="002B48AC" w:rsidRDefault="00BA26AA">
      <w:pPr>
        <w:pStyle w:val="Heading1"/>
        <w:spacing w:line="670" w:lineRule="exact"/>
        <w:ind w:left="673"/>
      </w:pPr>
      <w:r>
        <w:rPr>
          <w:color w:val="0087CE"/>
        </w:rPr>
        <w:t>Wyoming Provider Scorecard</w:t>
      </w:r>
    </w:p>
    <w:p w14:paraId="3D3B8B3B" w14:textId="77777777" w:rsidR="002B48AC" w:rsidRDefault="00BA26AA">
      <w:pPr>
        <w:ind w:left="672" w:right="639"/>
        <w:jc w:val="center"/>
        <w:rPr>
          <w:rFonts w:ascii="Calibri"/>
          <w:sz w:val="56"/>
        </w:rPr>
      </w:pPr>
      <w:r>
        <w:rPr>
          <w:rFonts w:ascii="Calibri"/>
          <w:color w:val="0087CE"/>
          <w:sz w:val="56"/>
        </w:rPr>
        <w:t>Measure Specification Manual</w:t>
      </w:r>
    </w:p>
    <w:p w14:paraId="3D3B8B3C" w14:textId="77777777" w:rsidR="002B48AC" w:rsidRDefault="00BA26AA">
      <w:pPr>
        <w:pStyle w:val="Heading2"/>
        <w:spacing w:before="200" w:line="317" w:lineRule="exact"/>
      </w:pPr>
      <w:r>
        <w:rPr>
          <w:color w:val="00497B"/>
        </w:rPr>
        <w:t>Purpose</w:t>
      </w:r>
    </w:p>
    <w:p w14:paraId="3D3B8B3D" w14:textId="7586F227" w:rsidR="002B48AC" w:rsidRDefault="00BA26AA">
      <w:pPr>
        <w:pStyle w:val="BodyText"/>
        <w:ind w:left="160" w:right="145"/>
      </w:pPr>
      <w:r>
        <w:t>The purpose of this manual is to assist providers in using the Wyoming Provider Scorecard by defining the source and calculations for each of the measures in the scorecard. The scorecard will be published de-identified on a quarterly basis for HFWA providers. As part of the new contract, the Wyoming CME is required to measure certain elements and outcomes. HFWA providers have aligned measures in the Provider Scorecard for HFWA to be working statewide on these important</w:t>
      </w:r>
      <w:r>
        <w:rPr>
          <w:spacing w:val="-9"/>
        </w:rPr>
        <w:t xml:space="preserve"> </w:t>
      </w:r>
      <w:r>
        <w:t>measures.</w:t>
      </w:r>
    </w:p>
    <w:p w14:paraId="3D3B8B3E" w14:textId="77777777" w:rsidR="002B48AC" w:rsidRDefault="002B48AC">
      <w:pPr>
        <w:pStyle w:val="BodyText"/>
        <w:spacing w:before="8"/>
        <w:rPr>
          <w:sz w:val="38"/>
        </w:rPr>
      </w:pPr>
    </w:p>
    <w:p w14:paraId="3D3B8B3F" w14:textId="77777777" w:rsidR="002B48AC" w:rsidRDefault="00BA26AA">
      <w:pPr>
        <w:pStyle w:val="Heading2"/>
        <w:spacing w:line="317" w:lineRule="exact"/>
      </w:pPr>
      <w:r>
        <w:rPr>
          <w:color w:val="00497B"/>
        </w:rPr>
        <w:t>A few key points to remember</w:t>
      </w:r>
    </w:p>
    <w:p w14:paraId="3D3B8B40" w14:textId="77777777" w:rsidR="002B48AC" w:rsidRDefault="00BA26AA">
      <w:pPr>
        <w:pStyle w:val="ListParagraph"/>
        <w:numPr>
          <w:ilvl w:val="0"/>
          <w:numId w:val="2"/>
        </w:numPr>
        <w:tabs>
          <w:tab w:val="left" w:pos="881"/>
        </w:tabs>
        <w:spacing w:line="259" w:lineRule="auto"/>
        <w:ind w:right="364"/>
      </w:pPr>
      <w:r>
        <w:t>As a scorecard, these are selected measures for program improvement. The measures are related to the statement of work for the wraparound program and are balanced</w:t>
      </w:r>
      <w:r>
        <w:rPr>
          <w:spacing w:val="-24"/>
        </w:rPr>
        <w:t xml:space="preserve"> </w:t>
      </w:r>
      <w:r>
        <w:t>for:</w:t>
      </w:r>
    </w:p>
    <w:p w14:paraId="3D3B8B41" w14:textId="77777777" w:rsidR="002B48AC" w:rsidRDefault="00BA26AA">
      <w:pPr>
        <w:pStyle w:val="ListParagraph"/>
        <w:numPr>
          <w:ilvl w:val="1"/>
          <w:numId w:val="2"/>
        </w:numPr>
        <w:tabs>
          <w:tab w:val="left" w:pos="1601"/>
        </w:tabs>
        <w:ind w:hanging="361"/>
      </w:pPr>
      <w:r>
        <w:t>Quality</w:t>
      </w:r>
      <w:r>
        <w:rPr>
          <w:spacing w:val="-3"/>
        </w:rPr>
        <w:t xml:space="preserve"> </w:t>
      </w:r>
      <w:r>
        <w:t>Process</w:t>
      </w:r>
    </w:p>
    <w:p w14:paraId="3D3B8B42" w14:textId="77777777" w:rsidR="002B48AC" w:rsidRDefault="00BA26AA">
      <w:pPr>
        <w:pStyle w:val="ListParagraph"/>
        <w:numPr>
          <w:ilvl w:val="1"/>
          <w:numId w:val="2"/>
        </w:numPr>
        <w:tabs>
          <w:tab w:val="left" w:pos="1601"/>
        </w:tabs>
        <w:spacing w:before="21"/>
        <w:ind w:hanging="361"/>
      </w:pPr>
      <w:r>
        <w:t>Fidelity to Wraparound</w:t>
      </w:r>
      <w:r>
        <w:rPr>
          <w:spacing w:val="-3"/>
        </w:rPr>
        <w:t xml:space="preserve"> </w:t>
      </w:r>
      <w:r>
        <w:t>Principles</w:t>
      </w:r>
    </w:p>
    <w:p w14:paraId="3D3B8B43" w14:textId="77777777" w:rsidR="002B48AC" w:rsidRDefault="00BA26AA">
      <w:pPr>
        <w:pStyle w:val="ListParagraph"/>
        <w:numPr>
          <w:ilvl w:val="1"/>
          <w:numId w:val="2"/>
        </w:numPr>
        <w:tabs>
          <w:tab w:val="left" w:pos="1600"/>
          <w:tab w:val="left" w:pos="1601"/>
        </w:tabs>
        <w:spacing w:before="21"/>
        <w:ind w:hanging="361"/>
      </w:pPr>
      <w:r>
        <w:t>Administrative</w:t>
      </w:r>
      <w:r>
        <w:rPr>
          <w:spacing w:val="-8"/>
        </w:rPr>
        <w:t xml:space="preserve"> </w:t>
      </w:r>
      <w:r>
        <w:t>Efficiency</w:t>
      </w:r>
    </w:p>
    <w:p w14:paraId="3D3B8B44" w14:textId="77777777" w:rsidR="002B48AC" w:rsidRDefault="00BA26AA">
      <w:pPr>
        <w:pStyle w:val="ListParagraph"/>
        <w:numPr>
          <w:ilvl w:val="1"/>
          <w:numId w:val="2"/>
        </w:numPr>
        <w:tabs>
          <w:tab w:val="left" w:pos="1601"/>
        </w:tabs>
        <w:spacing w:before="21"/>
        <w:ind w:hanging="361"/>
      </w:pPr>
      <w:r>
        <w:t>Outcomes of</w:t>
      </w:r>
      <w:r>
        <w:rPr>
          <w:spacing w:val="-7"/>
        </w:rPr>
        <w:t xml:space="preserve"> </w:t>
      </w:r>
      <w:r>
        <w:t>Wraparound</w:t>
      </w:r>
    </w:p>
    <w:p w14:paraId="3D3B8B45" w14:textId="21F35F1E" w:rsidR="002B48AC" w:rsidRDefault="00BA26AA">
      <w:pPr>
        <w:pStyle w:val="ListParagraph"/>
        <w:numPr>
          <w:ilvl w:val="0"/>
          <w:numId w:val="2"/>
        </w:numPr>
        <w:tabs>
          <w:tab w:val="left" w:pos="881"/>
        </w:tabs>
        <w:spacing w:before="21" w:line="259" w:lineRule="auto"/>
        <w:ind w:right="158"/>
      </w:pPr>
      <w:r>
        <w:t>The threshold colors represent a short-hand evaluation of performance, both by agency and WY Wraparound as a whole.  These are not final standards as many</w:t>
      </w:r>
      <w:r w:rsidR="0000710E">
        <w:t xml:space="preserve"> of</w:t>
      </w:r>
      <w:r>
        <w:t xml:space="preserve"> our goals are 100%, yet the colors assist in seeing progress. In addition to the color code, the actual measure for each Agency and for Wyoming Wraparound will be given. The colors</w:t>
      </w:r>
      <w:r>
        <w:rPr>
          <w:spacing w:val="-12"/>
        </w:rPr>
        <w:t xml:space="preserve"> </w:t>
      </w:r>
      <w:r>
        <w:t>represent:</w:t>
      </w:r>
    </w:p>
    <w:p w14:paraId="3D3B8B46" w14:textId="77777777" w:rsidR="002B48AC" w:rsidRDefault="00BA26AA">
      <w:pPr>
        <w:pStyle w:val="ListParagraph"/>
        <w:numPr>
          <w:ilvl w:val="1"/>
          <w:numId w:val="2"/>
        </w:numPr>
        <w:tabs>
          <w:tab w:val="left" w:pos="1601"/>
        </w:tabs>
        <w:ind w:hanging="361"/>
      </w:pPr>
      <w:r>
        <w:t>Green = Good</w:t>
      </w:r>
      <w:r>
        <w:rPr>
          <w:spacing w:val="-6"/>
        </w:rPr>
        <w:t xml:space="preserve"> </w:t>
      </w:r>
      <w:r>
        <w:t>range</w:t>
      </w:r>
    </w:p>
    <w:p w14:paraId="3D3B8B47" w14:textId="77777777" w:rsidR="002B48AC" w:rsidRDefault="00BA26AA">
      <w:pPr>
        <w:pStyle w:val="ListParagraph"/>
        <w:numPr>
          <w:ilvl w:val="1"/>
          <w:numId w:val="2"/>
        </w:numPr>
        <w:tabs>
          <w:tab w:val="left" w:pos="1601"/>
        </w:tabs>
        <w:spacing w:before="22"/>
        <w:ind w:hanging="361"/>
      </w:pPr>
      <w:r>
        <w:t>Yellow = Approaching Good</w:t>
      </w:r>
      <w:r>
        <w:rPr>
          <w:spacing w:val="-5"/>
        </w:rPr>
        <w:t xml:space="preserve"> </w:t>
      </w:r>
      <w:r>
        <w:t>Range</w:t>
      </w:r>
    </w:p>
    <w:p w14:paraId="3D3B8B48" w14:textId="77777777" w:rsidR="002B48AC" w:rsidRDefault="00BA26AA">
      <w:pPr>
        <w:pStyle w:val="ListParagraph"/>
        <w:numPr>
          <w:ilvl w:val="1"/>
          <w:numId w:val="2"/>
        </w:numPr>
        <w:tabs>
          <w:tab w:val="left" w:pos="1600"/>
          <w:tab w:val="left" w:pos="1601"/>
        </w:tabs>
        <w:spacing w:before="18"/>
        <w:ind w:hanging="361"/>
      </w:pPr>
      <w:r>
        <w:t>Red = Needs</w:t>
      </w:r>
      <w:r>
        <w:rPr>
          <w:spacing w:val="-3"/>
        </w:rPr>
        <w:t xml:space="preserve"> </w:t>
      </w:r>
      <w:r>
        <w:t>Improvement</w:t>
      </w:r>
    </w:p>
    <w:p w14:paraId="3D3B8B49" w14:textId="77777777" w:rsidR="002B48AC" w:rsidRDefault="00BA26AA">
      <w:pPr>
        <w:pStyle w:val="ListParagraph"/>
        <w:numPr>
          <w:ilvl w:val="0"/>
          <w:numId w:val="2"/>
        </w:numPr>
        <w:tabs>
          <w:tab w:val="left" w:pos="881"/>
        </w:tabs>
        <w:spacing w:before="21"/>
        <w:ind w:hanging="361"/>
      </w:pPr>
      <w:r>
        <w:t>Measures are reported quarterly, yet with some variation for the interval of</w:t>
      </w:r>
      <w:r>
        <w:rPr>
          <w:spacing w:val="-21"/>
        </w:rPr>
        <w:t xml:space="preserve"> </w:t>
      </w:r>
      <w:r>
        <w:t>time:</w:t>
      </w:r>
    </w:p>
    <w:p w14:paraId="3D3B8B4A" w14:textId="77777777" w:rsidR="002B48AC" w:rsidRDefault="00BA26AA">
      <w:pPr>
        <w:pStyle w:val="ListParagraph"/>
        <w:numPr>
          <w:ilvl w:val="1"/>
          <w:numId w:val="2"/>
        </w:numPr>
        <w:tabs>
          <w:tab w:val="left" w:pos="1601"/>
        </w:tabs>
        <w:spacing w:before="21" w:line="259" w:lineRule="auto"/>
        <w:ind w:right="515"/>
      </w:pPr>
      <w:r>
        <w:t>Measures with a larger denominator, such as percent of members with minimum contacts per month, will be reported based only on the last</w:t>
      </w:r>
      <w:r>
        <w:rPr>
          <w:spacing w:val="-16"/>
        </w:rPr>
        <w:t xml:space="preserve"> </w:t>
      </w:r>
      <w:r>
        <w:t>quarter.</w:t>
      </w:r>
    </w:p>
    <w:p w14:paraId="3D3B8B4B" w14:textId="77777777" w:rsidR="002B48AC" w:rsidRDefault="00BA26AA">
      <w:pPr>
        <w:pStyle w:val="ListParagraph"/>
        <w:numPr>
          <w:ilvl w:val="1"/>
          <w:numId w:val="2"/>
        </w:numPr>
        <w:tabs>
          <w:tab w:val="left" w:pos="1601"/>
        </w:tabs>
        <w:ind w:hanging="361"/>
      </w:pPr>
      <w:r>
        <w:t>Measures with small denominator, such as a measure based on count of</w:t>
      </w:r>
      <w:r>
        <w:rPr>
          <w:spacing w:val="-19"/>
        </w:rPr>
        <w:t xml:space="preserve"> </w:t>
      </w:r>
      <w:r>
        <w:t>discharged</w:t>
      </w:r>
    </w:p>
    <w:p w14:paraId="3D3B8B4C" w14:textId="77777777" w:rsidR="002B48AC" w:rsidRDefault="00BA26AA">
      <w:pPr>
        <w:pStyle w:val="BodyText"/>
        <w:spacing w:before="22"/>
        <w:ind w:left="1600"/>
      </w:pPr>
      <w:r>
        <w:t>youth, will be reported on a “rolling 12 months” for the most recent 12 months.</w:t>
      </w:r>
    </w:p>
    <w:p w14:paraId="3D3B8B4D" w14:textId="77777777" w:rsidR="002B48AC" w:rsidRDefault="00BA26AA">
      <w:pPr>
        <w:pStyle w:val="ListParagraph"/>
        <w:numPr>
          <w:ilvl w:val="0"/>
          <w:numId w:val="2"/>
        </w:numPr>
        <w:tabs>
          <w:tab w:val="left" w:pos="881"/>
        </w:tabs>
        <w:spacing w:before="21" w:line="259" w:lineRule="auto"/>
        <w:ind w:right="761"/>
        <w:jc w:val="both"/>
      </w:pPr>
      <w:r>
        <w:t>The All-Provider call will have a standing quarterly agenda item for discussion of the measures. Our goal is to improve measures together by sharing common experiences, trying new practices, and developing quality improvement</w:t>
      </w:r>
      <w:r>
        <w:rPr>
          <w:spacing w:val="-8"/>
        </w:rPr>
        <w:t xml:space="preserve"> </w:t>
      </w:r>
      <w:r>
        <w:t>process.</w:t>
      </w:r>
    </w:p>
    <w:p w14:paraId="3D3B8B4E" w14:textId="77777777" w:rsidR="002B48AC" w:rsidRDefault="00BA26AA">
      <w:pPr>
        <w:pStyle w:val="ListParagraph"/>
        <w:numPr>
          <w:ilvl w:val="0"/>
          <w:numId w:val="2"/>
        </w:numPr>
        <w:tabs>
          <w:tab w:val="left" w:pos="881"/>
        </w:tabs>
        <w:spacing w:line="261" w:lineRule="auto"/>
        <w:ind w:right="1275"/>
        <w:jc w:val="both"/>
      </w:pPr>
      <w:r>
        <w:t>The scorecard will help us quantify our work to tell the story of how high-fidelity wraparound impacts the youth and families we</w:t>
      </w:r>
      <w:r>
        <w:rPr>
          <w:spacing w:val="-10"/>
        </w:rPr>
        <w:t xml:space="preserve"> </w:t>
      </w:r>
      <w:r>
        <w:t>serve.</w:t>
      </w:r>
    </w:p>
    <w:p w14:paraId="3D3B8B4F" w14:textId="77777777" w:rsidR="002B48AC" w:rsidRDefault="002B48AC">
      <w:pPr>
        <w:spacing w:line="261" w:lineRule="auto"/>
        <w:jc w:val="both"/>
        <w:sectPr w:rsidR="002B48AC">
          <w:headerReference w:type="even" r:id="rId8"/>
          <w:headerReference w:type="default" r:id="rId9"/>
          <w:footerReference w:type="even" r:id="rId10"/>
          <w:footerReference w:type="default" r:id="rId11"/>
          <w:headerReference w:type="first" r:id="rId12"/>
          <w:footerReference w:type="first" r:id="rId13"/>
          <w:type w:val="continuous"/>
          <w:pgSz w:w="12240" w:h="15840"/>
          <w:pgMar w:top="0" w:right="960" w:bottom="980" w:left="920" w:header="720" w:footer="791" w:gutter="0"/>
          <w:pgNumType w:start="1"/>
          <w:cols w:space="720"/>
        </w:sectPr>
      </w:pPr>
    </w:p>
    <w:p w14:paraId="3D3B8B50" w14:textId="77777777" w:rsidR="002B48AC" w:rsidRDefault="00BA26AA">
      <w:pPr>
        <w:pStyle w:val="Heading1"/>
      </w:pPr>
      <w:r>
        <w:rPr>
          <w:color w:val="0087CE"/>
        </w:rPr>
        <w:lastRenderedPageBreak/>
        <w:t>Quality Process: Minimum Contacts per</w:t>
      </w:r>
    </w:p>
    <w:p w14:paraId="3D3B8B51" w14:textId="77777777" w:rsidR="002B48AC" w:rsidRDefault="00BA26AA">
      <w:pPr>
        <w:ind w:left="678" w:right="638"/>
        <w:jc w:val="center"/>
        <w:rPr>
          <w:rFonts w:ascii="Calibri"/>
          <w:sz w:val="56"/>
        </w:rPr>
      </w:pPr>
      <w:r>
        <w:rPr>
          <w:rFonts w:ascii="Calibri"/>
          <w:color w:val="0087CE"/>
          <w:sz w:val="56"/>
        </w:rPr>
        <w:t>Family</w:t>
      </w:r>
    </w:p>
    <w:p w14:paraId="3D3B8B52" w14:textId="77777777" w:rsidR="002B48AC" w:rsidRDefault="00BA26AA">
      <w:pPr>
        <w:pStyle w:val="BodyText"/>
        <w:tabs>
          <w:tab w:val="left" w:pos="1600"/>
        </w:tabs>
        <w:spacing w:before="480" w:line="264" w:lineRule="exact"/>
        <w:ind w:left="160"/>
      </w:pPr>
      <w:r>
        <w:t>Definition:</w:t>
      </w:r>
      <w:r>
        <w:tab/>
        <w:t>Percentage of youth/caregiver contacted at least two (2) times per month based</w:t>
      </w:r>
      <w:r>
        <w:rPr>
          <w:spacing w:val="-15"/>
        </w:rPr>
        <w:t xml:space="preserve"> </w:t>
      </w:r>
      <w:r>
        <w:t>on</w:t>
      </w:r>
    </w:p>
    <w:p w14:paraId="3D3B8B53" w14:textId="77777777" w:rsidR="002B48AC" w:rsidRDefault="00BA26AA">
      <w:pPr>
        <w:pStyle w:val="BodyText"/>
        <w:spacing w:line="264" w:lineRule="exact"/>
        <w:ind w:left="1600"/>
      </w:pPr>
      <w:r>
        <w:t>the family’s preferred contact type.</w:t>
      </w:r>
    </w:p>
    <w:p w14:paraId="3D3B8B54" w14:textId="77777777" w:rsidR="002B48AC" w:rsidRDefault="002B48AC">
      <w:pPr>
        <w:pStyle w:val="BodyText"/>
        <w:rPr>
          <w:sz w:val="26"/>
        </w:rPr>
      </w:pPr>
    </w:p>
    <w:p w14:paraId="3D3B8B55" w14:textId="77777777" w:rsidR="002B48AC" w:rsidRDefault="00BA26AA">
      <w:pPr>
        <w:pStyle w:val="BodyText"/>
        <w:tabs>
          <w:tab w:val="left" w:pos="1600"/>
        </w:tabs>
        <w:spacing w:before="167"/>
        <w:ind w:left="1600" w:right="1232" w:hanging="1441"/>
      </w:pPr>
      <w:r>
        <w:t>Importance:</w:t>
      </w:r>
      <w:r>
        <w:tab/>
        <w:t>Regular contact is an important quality measure which impacts fidelity to wraparound</w:t>
      </w:r>
      <w:r>
        <w:rPr>
          <w:spacing w:val="-3"/>
        </w:rPr>
        <w:t xml:space="preserve"> </w:t>
      </w:r>
      <w:r>
        <w:t>process.</w:t>
      </w:r>
    </w:p>
    <w:p w14:paraId="3D3B8B56" w14:textId="77777777" w:rsidR="002B48AC" w:rsidRDefault="002B48AC">
      <w:pPr>
        <w:pStyle w:val="BodyText"/>
        <w:rPr>
          <w:sz w:val="26"/>
        </w:rPr>
      </w:pPr>
    </w:p>
    <w:p w14:paraId="3D3B8B57" w14:textId="77777777" w:rsidR="002B48AC" w:rsidRDefault="00BA26AA">
      <w:pPr>
        <w:pStyle w:val="BodyText"/>
        <w:tabs>
          <w:tab w:val="left" w:pos="1600"/>
        </w:tabs>
        <w:spacing w:before="167" w:line="676" w:lineRule="auto"/>
        <w:ind w:left="160" w:right="2637"/>
      </w:pPr>
      <w:r>
        <w:t>Source:</w:t>
      </w:r>
      <w:r>
        <w:tab/>
        <w:t>FCC contact notes from the Electronic Health Record (EHR) Interval:</w:t>
      </w:r>
      <w:r>
        <w:tab/>
        <w:t>Most recent</w:t>
      </w:r>
      <w:r>
        <w:rPr>
          <w:spacing w:val="-1"/>
        </w:rPr>
        <w:t xml:space="preserve"> </w:t>
      </w:r>
      <w:r>
        <w:t>quarter</w:t>
      </w:r>
    </w:p>
    <w:p w14:paraId="3D3B8B58" w14:textId="77777777" w:rsidR="002B48AC" w:rsidRDefault="00BA26AA">
      <w:pPr>
        <w:pStyle w:val="BodyText"/>
        <w:tabs>
          <w:tab w:val="left" w:pos="1600"/>
        </w:tabs>
        <w:spacing w:line="263" w:lineRule="exact"/>
        <w:ind w:left="160"/>
      </w:pPr>
      <w:r>
        <w:t>Numerator:</w:t>
      </w:r>
      <w:r>
        <w:tab/>
        <w:t>Youth/family with at least two contacts based on the family’s preferred contact</w:t>
      </w:r>
      <w:r>
        <w:rPr>
          <w:spacing w:val="-29"/>
        </w:rPr>
        <w:t xml:space="preserve"> </w:t>
      </w:r>
      <w:r>
        <w:t>type</w:t>
      </w:r>
    </w:p>
    <w:p w14:paraId="3D3B8B59" w14:textId="77777777" w:rsidR="002B48AC" w:rsidRDefault="00BA26AA">
      <w:pPr>
        <w:pStyle w:val="BodyText"/>
        <w:spacing w:line="674" w:lineRule="auto"/>
        <w:ind w:left="160" w:right="6192" w:firstLine="1440"/>
      </w:pPr>
      <w:r>
        <w:t>each month Denominator: Youth/family that</w:t>
      </w:r>
      <w:r>
        <w:rPr>
          <w:spacing w:val="-40"/>
        </w:rPr>
        <w:t xml:space="preserve"> </w:t>
      </w:r>
      <w:r>
        <w:t>month HFWA goal:</w:t>
      </w:r>
      <w:r>
        <w:rPr>
          <w:spacing w:val="6"/>
        </w:rPr>
        <w:t xml:space="preserve"> </w:t>
      </w:r>
      <w:r>
        <w:t>100%</w:t>
      </w:r>
    </w:p>
    <w:p w14:paraId="3D3B8B5A" w14:textId="77777777" w:rsidR="002B48AC" w:rsidRDefault="00BA26AA">
      <w:pPr>
        <w:pStyle w:val="BodyText"/>
        <w:tabs>
          <w:tab w:val="left" w:pos="1600"/>
        </w:tabs>
        <w:spacing w:before="5"/>
        <w:ind w:left="160"/>
      </w:pPr>
      <w:r>
        <w:t>Green:</w:t>
      </w:r>
      <w:r>
        <w:tab/>
        <w:t>100%</w:t>
      </w:r>
    </w:p>
    <w:p w14:paraId="3D3B8B5B" w14:textId="77777777" w:rsidR="002B48AC" w:rsidRDefault="002B48AC">
      <w:pPr>
        <w:pStyle w:val="BodyText"/>
        <w:rPr>
          <w:sz w:val="26"/>
        </w:rPr>
      </w:pPr>
    </w:p>
    <w:p w14:paraId="3D3B8B5C" w14:textId="77777777" w:rsidR="002B48AC" w:rsidRDefault="00BA26AA">
      <w:pPr>
        <w:pStyle w:val="BodyText"/>
        <w:tabs>
          <w:tab w:val="left" w:pos="1600"/>
        </w:tabs>
        <w:spacing w:before="167"/>
        <w:ind w:left="160"/>
      </w:pPr>
      <w:r>
        <w:t>Yellow:</w:t>
      </w:r>
      <w:r>
        <w:tab/>
        <w:t>95% &lt;</w:t>
      </w:r>
      <w:r>
        <w:rPr>
          <w:spacing w:val="-1"/>
        </w:rPr>
        <w:t xml:space="preserve"> </w:t>
      </w:r>
      <w:r>
        <w:t>100%</w:t>
      </w:r>
    </w:p>
    <w:p w14:paraId="3D3B8B5D" w14:textId="77777777" w:rsidR="002B48AC" w:rsidRDefault="002B48AC">
      <w:pPr>
        <w:pStyle w:val="BodyText"/>
        <w:rPr>
          <w:sz w:val="26"/>
        </w:rPr>
      </w:pPr>
    </w:p>
    <w:p w14:paraId="3D3B8B5E" w14:textId="77777777" w:rsidR="002B48AC" w:rsidRDefault="00BA26AA">
      <w:pPr>
        <w:pStyle w:val="BodyText"/>
        <w:tabs>
          <w:tab w:val="left" w:pos="1600"/>
        </w:tabs>
        <w:spacing w:before="167"/>
        <w:ind w:left="160"/>
      </w:pPr>
      <w:r>
        <w:t>Red:</w:t>
      </w:r>
      <w:r>
        <w:tab/>
        <w:t>&lt; 95%</w:t>
      </w:r>
    </w:p>
    <w:p w14:paraId="3D3B8B5F" w14:textId="77777777" w:rsidR="002B48AC" w:rsidRDefault="002B48AC">
      <w:pPr>
        <w:pStyle w:val="BodyText"/>
        <w:rPr>
          <w:sz w:val="26"/>
        </w:rPr>
      </w:pPr>
    </w:p>
    <w:p w14:paraId="3D3B8B60" w14:textId="77777777" w:rsidR="002B48AC" w:rsidRDefault="00BA26AA">
      <w:pPr>
        <w:pStyle w:val="BodyText"/>
        <w:tabs>
          <w:tab w:val="left" w:pos="1600"/>
        </w:tabs>
        <w:spacing w:before="168"/>
        <w:ind w:left="160"/>
      </w:pPr>
      <w:r>
        <w:t>Notes:</w:t>
      </w:r>
      <w:r>
        <w:tab/>
        <w:t>Youth are included only if they are enrolled for the entire</w:t>
      </w:r>
      <w:r>
        <w:rPr>
          <w:spacing w:val="-15"/>
        </w:rPr>
        <w:t xml:space="preserve"> </w:t>
      </w:r>
      <w:r>
        <w:t>month.</w:t>
      </w:r>
    </w:p>
    <w:p w14:paraId="3D3B8B61" w14:textId="77777777" w:rsidR="002B48AC" w:rsidRDefault="002B48AC">
      <w:pPr>
        <w:sectPr w:rsidR="002B48AC">
          <w:footerReference w:type="default" r:id="rId14"/>
          <w:pgSz w:w="12240" w:h="15840"/>
          <w:pgMar w:top="1480" w:right="960" w:bottom="1140" w:left="920" w:header="0" w:footer="955" w:gutter="0"/>
          <w:pgNumType w:start="2"/>
          <w:cols w:space="720"/>
        </w:sectPr>
      </w:pPr>
    </w:p>
    <w:p w14:paraId="3D3B8B62" w14:textId="77777777" w:rsidR="002B48AC" w:rsidRDefault="00BA26AA">
      <w:pPr>
        <w:pStyle w:val="Heading1"/>
        <w:ind w:right="634"/>
      </w:pPr>
      <w:r>
        <w:rPr>
          <w:color w:val="0087CE"/>
        </w:rPr>
        <w:lastRenderedPageBreak/>
        <w:t>Quality Process: HFWA ALOS (Average</w:t>
      </w:r>
    </w:p>
    <w:p w14:paraId="3D3B8B63" w14:textId="77777777" w:rsidR="002B48AC" w:rsidRDefault="00BA26AA">
      <w:pPr>
        <w:ind w:left="672" w:right="639"/>
        <w:jc w:val="center"/>
        <w:rPr>
          <w:rFonts w:ascii="Calibri"/>
          <w:sz w:val="56"/>
        </w:rPr>
      </w:pPr>
      <w:r>
        <w:rPr>
          <w:rFonts w:ascii="Calibri"/>
          <w:color w:val="0087CE"/>
          <w:sz w:val="56"/>
        </w:rPr>
        <w:t>Length of Stay)</w:t>
      </w:r>
    </w:p>
    <w:p w14:paraId="3D3B8B64" w14:textId="77777777" w:rsidR="002B48AC" w:rsidRDefault="00BA26AA">
      <w:pPr>
        <w:pStyle w:val="BodyText"/>
        <w:tabs>
          <w:tab w:val="left" w:pos="1600"/>
        </w:tabs>
        <w:spacing w:before="480"/>
        <w:ind w:left="1600" w:right="574" w:hanging="1441"/>
      </w:pPr>
      <w:r>
        <w:t>Definition:</w:t>
      </w:r>
      <w:r>
        <w:tab/>
        <w:t>The average number of days in an authorization of HFWA of engaged youth who have been</w:t>
      </w:r>
      <w:r>
        <w:rPr>
          <w:spacing w:val="-2"/>
        </w:rPr>
        <w:t xml:space="preserve"> </w:t>
      </w:r>
      <w:r>
        <w:t>discharged.</w:t>
      </w:r>
    </w:p>
    <w:p w14:paraId="3D3B8B65" w14:textId="77777777" w:rsidR="002B48AC" w:rsidRDefault="002B48AC">
      <w:pPr>
        <w:pStyle w:val="BodyText"/>
        <w:rPr>
          <w:sz w:val="26"/>
        </w:rPr>
      </w:pPr>
    </w:p>
    <w:p w14:paraId="3D3B8B66" w14:textId="77777777" w:rsidR="002B48AC" w:rsidRDefault="00BA26AA">
      <w:pPr>
        <w:pStyle w:val="BodyText"/>
        <w:tabs>
          <w:tab w:val="left" w:pos="1600"/>
        </w:tabs>
        <w:spacing w:before="166"/>
        <w:ind w:left="1600" w:right="245" w:hanging="1441"/>
      </w:pPr>
      <w:r>
        <w:t>Importance:</w:t>
      </w:r>
      <w:r>
        <w:tab/>
        <w:t>The goal of HFWA is to transfer skills to the family, youth, and informal resources and transition out of formal HFWA. The ALOS tracks the length of time needed</w:t>
      </w:r>
      <w:r>
        <w:rPr>
          <w:spacing w:val="-31"/>
        </w:rPr>
        <w:t xml:space="preserve"> </w:t>
      </w:r>
      <w:r>
        <w:t>for reaching the optimal duration to transition. Only youth with at least 60 days of HFWA are included as</w:t>
      </w:r>
      <w:r>
        <w:rPr>
          <w:spacing w:val="-8"/>
        </w:rPr>
        <w:t xml:space="preserve"> </w:t>
      </w:r>
      <w:r>
        <w:t>“engaged.”</w:t>
      </w:r>
    </w:p>
    <w:p w14:paraId="3D3B8B67" w14:textId="77777777" w:rsidR="002B48AC" w:rsidRDefault="002B48AC">
      <w:pPr>
        <w:pStyle w:val="BodyText"/>
        <w:rPr>
          <w:sz w:val="26"/>
        </w:rPr>
      </w:pPr>
    </w:p>
    <w:p w14:paraId="3D3B8B68" w14:textId="77777777" w:rsidR="002B48AC" w:rsidRDefault="00BA26AA">
      <w:pPr>
        <w:pStyle w:val="BodyText"/>
        <w:tabs>
          <w:tab w:val="left" w:pos="1600"/>
        </w:tabs>
        <w:spacing w:before="169" w:line="674" w:lineRule="auto"/>
        <w:ind w:left="160" w:right="1198"/>
      </w:pPr>
      <w:r>
        <w:t>Source:</w:t>
      </w:r>
      <w:r>
        <w:tab/>
        <w:t>Enrollment and Discharge dates from the Electronic Health Record (EHR) Interval:</w:t>
      </w:r>
      <w:r>
        <w:tab/>
        <w:t>Rolling 12</w:t>
      </w:r>
      <w:r>
        <w:rPr>
          <w:spacing w:val="-4"/>
        </w:rPr>
        <w:t xml:space="preserve"> </w:t>
      </w:r>
      <w:r>
        <w:t>months</w:t>
      </w:r>
    </w:p>
    <w:p w14:paraId="3D3B8B69" w14:textId="77777777" w:rsidR="002B48AC" w:rsidRDefault="00BA26AA">
      <w:pPr>
        <w:pStyle w:val="BodyText"/>
        <w:tabs>
          <w:tab w:val="left" w:pos="1600"/>
        </w:tabs>
        <w:spacing w:before="2" w:line="672" w:lineRule="auto"/>
        <w:ind w:left="160" w:right="2473"/>
        <w:rPr>
          <w:i/>
          <w:sz w:val="23"/>
        </w:rPr>
      </w:pPr>
      <w:r>
        <w:t>Numerator:</w:t>
      </w:r>
      <w:r>
        <w:tab/>
        <w:t>Days continuous authorization for discharged youth Denominator:</w:t>
      </w:r>
      <w:r>
        <w:rPr>
          <w:spacing w:val="-45"/>
        </w:rPr>
        <w:t xml:space="preserve"> </w:t>
      </w:r>
      <w:r>
        <w:t>Count of engaged youth discharged with &gt; 180 days in HFWA HFWA goal: Range of 9-15 months (</w:t>
      </w:r>
      <w:r>
        <w:rPr>
          <w:i/>
          <w:sz w:val="23"/>
        </w:rPr>
        <w:t>270 &lt; 450</w:t>
      </w:r>
      <w:r>
        <w:rPr>
          <w:i/>
          <w:spacing w:val="-22"/>
          <w:sz w:val="23"/>
        </w:rPr>
        <w:t xml:space="preserve"> </w:t>
      </w:r>
      <w:r>
        <w:rPr>
          <w:i/>
          <w:sz w:val="23"/>
        </w:rPr>
        <w:t>days)</w:t>
      </w:r>
    </w:p>
    <w:p w14:paraId="3D3B8B6A" w14:textId="77777777" w:rsidR="002B48AC" w:rsidRDefault="00BA26AA">
      <w:pPr>
        <w:tabs>
          <w:tab w:val="left" w:pos="1600"/>
        </w:tabs>
        <w:spacing w:line="246" w:lineRule="exact"/>
        <w:ind w:left="160"/>
        <w:rPr>
          <w:i/>
          <w:sz w:val="23"/>
        </w:rPr>
      </w:pPr>
      <w:r>
        <w:t>Green:</w:t>
      </w:r>
      <w:r>
        <w:tab/>
        <w:t>9 months &lt; 15 months (</w:t>
      </w:r>
      <w:r>
        <w:rPr>
          <w:i/>
          <w:sz w:val="23"/>
        </w:rPr>
        <w:t>270 days &lt; 450</w:t>
      </w:r>
      <w:r>
        <w:rPr>
          <w:i/>
          <w:spacing w:val="-31"/>
          <w:sz w:val="23"/>
        </w:rPr>
        <w:t xml:space="preserve"> </w:t>
      </w:r>
      <w:r>
        <w:rPr>
          <w:i/>
          <w:sz w:val="23"/>
        </w:rPr>
        <w:t>days)</w:t>
      </w:r>
    </w:p>
    <w:p w14:paraId="3D3B8B6B" w14:textId="77777777" w:rsidR="002B48AC" w:rsidRDefault="002B48AC">
      <w:pPr>
        <w:pStyle w:val="BodyText"/>
        <w:spacing w:before="10"/>
        <w:rPr>
          <w:i/>
          <w:sz w:val="38"/>
        </w:rPr>
      </w:pPr>
    </w:p>
    <w:p w14:paraId="3D3B8B6C" w14:textId="77777777" w:rsidR="002B48AC" w:rsidRDefault="00BA26AA">
      <w:pPr>
        <w:tabs>
          <w:tab w:val="left" w:pos="1600"/>
        </w:tabs>
        <w:ind w:left="160"/>
        <w:rPr>
          <w:i/>
          <w:sz w:val="23"/>
        </w:rPr>
      </w:pPr>
      <w:r>
        <w:t>Yellow:</w:t>
      </w:r>
      <w:r>
        <w:tab/>
        <w:t>6</w:t>
      </w:r>
      <w:r>
        <w:rPr>
          <w:spacing w:val="-5"/>
        </w:rPr>
        <w:t xml:space="preserve"> </w:t>
      </w:r>
      <w:r>
        <w:t>months</w:t>
      </w:r>
      <w:r>
        <w:rPr>
          <w:spacing w:val="-6"/>
        </w:rPr>
        <w:t xml:space="preserve"> </w:t>
      </w:r>
      <w:r>
        <w:t>&lt;</w:t>
      </w:r>
      <w:r>
        <w:rPr>
          <w:spacing w:val="-5"/>
        </w:rPr>
        <w:t xml:space="preserve"> </w:t>
      </w:r>
      <w:r>
        <w:t>9</w:t>
      </w:r>
      <w:r>
        <w:rPr>
          <w:spacing w:val="-7"/>
        </w:rPr>
        <w:t xml:space="preserve"> </w:t>
      </w:r>
      <w:r>
        <w:t>months</w:t>
      </w:r>
      <w:r>
        <w:rPr>
          <w:spacing w:val="-6"/>
        </w:rPr>
        <w:t xml:space="preserve"> </w:t>
      </w:r>
      <w:r>
        <w:t>(180</w:t>
      </w:r>
      <w:r>
        <w:rPr>
          <w:spacing w:val="-4"/>
        </w:rPr>
        <w:t xml:space="preserve"> </w:t>
      </w:r>
      <w:r>
        <w:t>days</w:t>
      </w:r>
      <w:r>
        <w:rPr>
          <w:spacing w:val="-6"/>
        </w:rPr>
        <w:t xml:space="preserve"> </w:t>
      </w:r>
      <w:r>
        <w:t>&lt;</w:t>
      </w:r>
      <w:r>
        <w:rPr>
          <w:spacing w:val="-6"/>
        </w:rPr>
        <w:t xml:space="preserve"> </w:t>
      </w:r>
      <w:r>
        <w:t>270</w:t>
      </w:r>
      <w:r>
        <w:rPr>
          <w:spacing w:val="-6"/>
        </w:rPr>
        <w:t xml:space="preserve"> </w:t>
      </w:r>
      <w:r>
        <w:t>days)</w:t>
      </w:r>
      <w:r>
        <w:rPr>
          <w:spacing w:val="-4"/>
        </w:rPr>
        <w:t xml:space="preserve"> </w:t>
      </w:r>
      <w:r>
        <w:t>or</w:t>
      </w:r>
      <w:r>
        <w:rPr>
          <w:spacing w:val="-4"/>
        </w:rPr>
        <w:t xml:space="preserve"> </w:t>
      </w:r>
      <w:r>
        <w:t>15</w:t>
      </w:r>
      <w:r>
        <w:rPr>
          <w:spacing w:val="-4"/>
        </w:rPr>
        <w:t xml:space="preserve"> </w:t>
      </w:r>
      <w:r>
        <w:t>&lt;</w:t>
      </w:r>
      <w:r>
        <w:rPr>
          <w:spacing w:val="-5"/>
        </w:rPr>
        <w:t xml:space="preserve"> </w:t>
      </w:r>
      <w:r>
        <w:t>18</w:t>
      </w:r>
      <w:r>
        <w:rPr>
          <w:spacing w:val="-7"/>
        </w:rPr>
        <w:t xml:space="preserve"> </w:t>
      </w:r>
      <w:r>
        <w:t>months</w:t>
      </w:r>
      <w:r>
        <w:rPr>
          <w:spacing w:val="-5"/>
        </w:rPr>
        <w:t xml:space="preserve"> </w:t>
      </w:r>
      <w:r>
        <w:t>(</w:t>
      </w:r>
      <w:r>
        <w:rPr>
          <w:i/>
          <w:sz w:val="23"/>
        </w:rPr>
        <w:t>450</w:t>
      </w:r>
      <w:r>
        <w:rPr>
          <w:i/>
          <w:spacing w:val="-10"/>
          <w:sz w:val="23"/>
        </w:rPr>
        <w:t xml:space="preserve"> </w:t>
      </w:r>
      <w:r>
        <w:rPr>
          <w:i/>
          <w:sz w:val="23"/>
        </w:rPr>
        <w:t>days</w:t>
      </w:r>
      <w:r>
        <w:rPr>
          <w:i/>
          <w:spacing w:val="-8"/>
          <w:sz w:val="23"/>
        </w:rPr>
        <w:t xml:space="preserve"> </w:t>
      </w:r>
      <w:r>
        <w:rPr>
          <w:i/>
          <w:sz w:val="23"/>
        </w:rPr>
        <w:t>&lt;</w:t>
      </w:r>
      <w:r>
        <w:rPr>
          <w:i/>
          <w:spacing w:val="-7"/>
          <w:sz w:val="23"/>
        </w:rPr>
        <w:t xml:space="preserve"> </w:t>
      </w:r>
      <w:r>
        <w:rPr>
          <w:i/>
          <w:sz w:val="23"/>
        </w:rPr>
        <w:t>540</w:t>
      </w:r>
      <w:r>
        <w:rPr>
          <w:i/>
          <w:spacing w:val="-10"/>
          <w:sz w:val="23"/>
        </w:rPr>
        <w:t xml:space="preserve"> </w:t>
      </w:r>
      <w:r>
        <w:rPr>
          <w:i/>
          <w:sz w:val="23"/>
        </w:rPr>
        <w:t>days)</w:t>
      </w:r>
    </w:p>
    <w:p w14:paraId="3D3B8B6D" w14:textId="77777777" w:rsidR="002B48AC" w:rsidRDefault="002B48AC">
      <w:pPr>
        <w:pStyle w:val="BodyText"/>
        <w:spacing w:before="9"/>
        <w:rPr>
          <w:i/>
          <w:sz w:val="39"/>
        </w:rPr>
      </w:pPr>
    </w:p>
    <w:p w14:paraId="3D3B8B6E" w14:textId="77777777" w:rsidR="002B48AC" w:rsidRDefault="00BA26AA">
      <w:pPr>
        <w:pStyle w:val="BodyText"/>
        <w:tabs>
          <w:tab w:val="left" w:pos="1600"/>
        </w:tabs>
        <w:ind w:left="160"/>
      </w:pPr>
      <w:r>
        <w:t>Red:</w:t>
      </w:r>
      <w:r>
        <w:tab/>
        <w:t>&lt; 6 months (&lt; 180 days) or &gt; 18 months (&gt; 540</w:t>
      </w:r>
      <w:r>
        <w:rPr>
          <w:spacing w:val="-15"/>
        </w:rPr>
        <w:t xml:space="preserve"> </w:t>
      </w:r>
      <w:r>
        <w:t>days)</w:t>
      </w:r>
    </w:p>
    <w:p w14:paraId="3D3B8B6F" w14:textId="77777777" w:rsidR="002B48AC" w:rsidRDefault="002B48AC">
      <w:pPr>
        <w:pStyle w:val="BodyText"/>
        <w:rPr>
          <w:sz w:val="26"/>
        </w:rPr>
      </w:pPr>
    </w:p>
    <w:p w14:paraId="3D3B8B70" w14:textId="77777777" w:rsidR="002B48AC" w:rsidRDefault="00BA26AA">
      <w:pPr>
        <w:pStyle w:val="BodyText"/>
        <w:tabs>
          <w:tab w:val="left" w:pos="1600"/>
        </w:tabs>
        <w:spacing w:before="167"/>
        <w:ind w:left="1600" w:right="307" w:hanging="1441"/>
      </w:pPr>
      <w:r>
        <w:t>Notes:</w:t>
      </w:r>
      <w:r>
        <w:tab/>
        <w:t>This is a rolling 12-month measure (the most recent past 12 months) recalculated quarterly. If the youth has had more than one HFWA FCC, the youth is attributed to the HFWA provider at</w:t>
      </w:r>
      <w:r>
        <w:rPr>
          <w:spacing w:val="-4"/>
        </w:rPr>
        <w:t xml:space="preserve"> </w:t>
      </w:r>
      <w:r>
        <w:t>discharge.</w:t>
      </w:r>
    </w:p>
    <w:p w14:paraId="3D3B8B71" w14:textId="77777777" w:rsidR="002B48AC" w:rsidRDefault="002B48AC">
      <w:pPr>
        <w:pStyle w:val="BodyText"/>
        <w:rPr>
          <w:sz w:val="26"/>
        </w:rPr>
      </w:pPr>
    </w:p>
    <w:p w14:paraId="3D3B8B72" w14:textId="77777777" w:rsidR="002B48AC" w:rsidRDefault="00BA26AA">
      <w:pPr>
        <w:pStyle w:val="BodyText"/>
        <w:spacing w:before="169"/>
        <w:ind w:left="1600"/>
      </w:pPr>
      <w:r>
        <w:t>N/A means no youth were discharged in the period.</w:t>
      </w:r>
    </w:p>
    <w:p w14:paraId="3D3B8B73" w14:textId="77777777" w:rsidR="002B48AC" w:rsidRDefault="002B48AC">
      <w:pPr>
        <w:sectPr w:rsidR="002B48AC">
          <w:pgSz w:w="12240" w:h="15840"/>
          <w:pgMar w:top="1480" w:right="960" w:bottom="1140" w:left="920" w:header="0" w:footer="955" w:gutter="0"/>
          <w:cols w:space="720"/>
        </w:sectPr>
      </w:pPr>
    </w:p>
    <w:p w14:paraId="3D3B8B74" w14:textId="77777777" w:rsidR="002B48AC" w:rsidRDefault="00BA26AA">
      <w:pPr>
        <w:pStyle w:val="Heading1"/>
        <w:ind w:right="638"/>
      </w:pPr>
      <w:r>
        <w:rPr>
          <w:color w:val="0087CE"/>
        </w:rPr>
        <w:lastRenderedPageBreak/>
        <w:t>Quality Process: Engagement and</w:t>
      </w:r>
    </w:p>
    <w:p w14:paraId="3D3B8B75" w14:textId="77777777" w:rsidR="002B48AC" w:rsidRDefault="00BA26AA">
      <w:pPr>
        <w:ind w:left="678" w:right="639"/>
        <w:jc w:val="center"/>
        <w:rPr>
          <w:rFonts w:ascii="Calibri"/>
          <w:sz w:val="56"/>
        </w:rPr>
      </w:pPr>
      <w:r>
        <w:rPr>
          <w:rFonts w:ascii="Calibri"/>
          <w:color w:val="0087CE"/>
          <w:sz w:val="56"/>
        </w:rPr>
        <w:t>Implementation</w:t>
      </w:r>
    </w:p>
    <w:p w14:paraId="3D3B8B76" w14:textId="77777777" w:rsidR="002B48AC" w:rsidRDefault="00BA26AA">
      <w:pPr>
        <w:pStyle w:val="BodyText"/>
        <w:tabs>
          <w:tab w:val="left" w:pos="1600"/>
        </w:tabs>
        <w:spacing w:before="480"/>
        <w:ind w:left="1600" w:right="245" w:hanging="1441"/>
      </w:pPr>
      <w:r>
        <w:t>Definition:</w:t>
      </w:r>
      <w:r>
        <w:tab/>
        <w:t>The percent of youth with fewer than 60 days of HFWA (“not engaged”) and percent of youth with180 or more days of HFWA</w:t>
      </w:r>
      <w:r>
        <w:rPr>
          <w:spacing w:val="-9"/>
        </w:rPr>
        <w:t xml:space="preserve"> </w:t>
      </w:r>
      <w:r>
        <w:t>(“implemented”).</w:t>
      </w:r>
    </w:p>
    <w:p w14:paraId="3D3B8B77" w14:textId="77777777" w:rsidR="002B48AC" w:rsidRDefault="002B48AC">
      <w:pPr>
        <w:pStyle w:val="BodyText"/>
        <w:rPr>
          <w:sz w:val="26"/>
        </w:rPr>
      </w:pPr>
    </w:p>
    <w:p w14:paraId="3D3B8B78" w14:textId="77777777" w:rsidR="002B48AC" w:rsidRDefault="00BA26AA">
      <w:pPr>
        <w:pStyle w:val="BodyText"/>
        <w:tabs>
          <w:tab w:val="left" w:pos="1600"/>
        </w:tabs>
        <w:spacing w:before="166"/>
        <w:ind w:left="1600" w:right="485" w:hanging="1441"/>
      </w:pPr>
      <w:r>
        <w:t>Importance:</w:t>
      </w:r>
      <w:r>
        <w:tab/>
        <w:t>Engagement in wraparound is the beginning phase of HFWA. Families or youth may decline or not respond to HFWA. The percentage of youth not engaging is an important alert measure for HFWA. Youth with less than 60 days of HFWA are included as “not engaged.” Planning and Implementation phases of HFWA take longer and are measured at 180</w:t>
      </w:r>
      <w:r>
        <w:rPr>
          <w:spacing w:val="-6"/>
        </w:rPr>
        <w:t xml:space="preserve"> </w:t>
      </w:r>
      <w:r>
        <w:t>days.</w:t>
      </w:r>
    </w:p>
    <w:p w14:paraId="3D3B8B79" w14:textId="77777777" w:rsidR="002B48AC" w:rsidRDefault="002B48AC">
      <w:pPr>
        <w:pStyle w:val="BodyText"/>
        <w:rPr>
          <w:sz w:val="26"/>
        </w:rPr>
      </w:pPr>
    </w:p>
    <w:p w14:paraId="3D3B8B7A" w14:textId="77777777" w:rsidR="002B48AC" w:rsidRDefault="00BA26AA">
      <w:pPr>
        <w:pStyle w:val="BodyText"/>
        <w:tabs>
          <w:tab w:val="left" w:pos="1600"/>
        </w:tabs>
        <w:spacing w:before="168" w:line="674" w:lineRule="auto"/>
        <w:ind w:left="160" w:right="1198"/>
      </w:pPr>
      <w:r>
        <w:t>Source:</w:t>
      </w:r>
      <w:r>
        <w:tab/>
        <w:t>Enrollment and Discharge dates from the Electronic Health Record (EHR) Interval:</w:t>
      </w:r>
      <w:r>
        <w:tab/>
        <w:t>Rolling 12</w:t>
      </w:r>
      <w:r>
        <w:rPr>
          <w:spacing w:val="-4"/>
        </w:rPr>
        <w:t xml:space="preserve"> </w:t>
      </w:r>
      <w:r>
        <w:t>months</w:t>
      </w:r>
    </w:p>
    <w:p w14:paraId="3D3B8B7B" w14:textId="77777777" w:rsidR="002B48AC" w:rsidRDefault="00BA26AA">
      <w:pPr>
        <w:pStyle w:val="BodyText"/>
        <w:tabs>
          <w:tab w:val="left" w:pos="1600"/>
        </w:tabs>
        <w:spacing w:before="2" w:line="676" w:lineRule="auto"/>
        <w:ind w:left="160" w:right="3067"/>
      </w:pPr>
      <w:r>
        <w:t>Numerator:</w:t>
      </w:r>
      <w:r>
        <w:tab/>
        <w:t>Count of youth &lt;60 days and &gt;180 days (see note above) Denominator: Count of discharged youth</w:t>
      </w:r>
      <w:r>
        <w:rPr>
          <w:spacing w:val="-24"/>
        </w:rPr>
        <w:t xml:space="preserve"> </w:t>
      </w:r>
      <w:r>
        <w:t>HFWA</w:t>
      </w:r>
    </w:p>
    <w:p w14:paraId="3D3B8B7C" w14:textId="77777777" w:rsidR="002B48AC" w:rsidRDefault="00BA26AA">
      <w:pPr>
        <w:pStyle w:val="BodyText"/>
        <w:spacing w:line="264" w:lineRule="exact"/>
        <w:ind w:left="160"/>
      </w:pPr>
      <w:r>
        <w:t>HFWA goal: 90% engaged (&gt;60 days) and 80% implemented (&gt;180 days)</w:t>
      </w:r>
    </w:p>
    <w:p w14:paraId="3D3B8B7D" w14:textId="77777777" w:rsidR="002B48AC" w:rsidRDefault="002B48AC">
      <w:pPr>
        <w:pStyle w:val="BodyText"/>
        <w:rPr>
          <w:sz w:val="20"/>
        </w:rPr>
      </w:pPr>
    </w:p>
    <w:p w14:paraId="3D3B8B7E" w14:textId="77777777" w:rsidR="002B48AC" w:rsidRDefault="002B48AC">
      <w:pPr>
        <w:pStyle w:val="BodyText"/>
        <w:spacing w:before="10"/>
        <w:rPr>
          <w:sz w:val="19"/>
        </w:rPr>
      </w:pPr>
    </w:p>
    <w:tbl>
      <w:tblPr>
        <w:tblW w:w="0" w:type="auto"/>
        <w:tblInd w:w="117" w:type="dxa"/>
        <w:tblLayout w:type="fixed"/>
        <w:tblCellMar>
          <w:left w:w="0" w:type="dxa"/>
          <w:right w:w="0" w:type="dxa"/>
        </w:tblCellMar>
        <w:tblLook w:val="01E0" w:firstRow="1" w:lastRow="1" w:firstColumn="1" w:lastColumn="1" w:noHBand="0" w:noVBand="0"/>
      </w:tblPr>
      <w:tblGrid>
        <w:gridCol w:w="1144"/>
        <w:gridCol w:w="2946"/>
        <w:gridCol w:w="2289"/>
      </w:tblGrid>
      <w:tr w:rsidR="002B48AC" w14:paraId="3D3B8B82" w14:textId="77777777">
        <w:trPr>
          <w:trHeight w:val="504"/>
        </w:trPr>
        <w:tc>
          <w:tcPr>
            <w:tcW w:w="1144" w:type="dxa"/>
          </w:tcPr>
          <w:p w14:paraId="3D3B8B7F" w14:textId="77777777" w:rsidR="002B48AC" w:rsidRDefault="00BA26AA">
            <w:pPr>
              <w:pStyle w:val="TableParagraph"/>
              <w:ind w:left="50"/>
              <w:rPr>
                <w:rFonts w:ascii="Century"/>
              </w:rPr>
            </w:pPr>
            <w:r>
              <w:rPr>
                <w:rFonts w:ascii="Century"/>
              </w:rPr>
              <w:t>Green:</w:t>
            </w:r>
          </w:p>
        </w:tc>
        <w:tc>
          <w:tcPr>
            <w:tcW w:w="2946" w:type="dxa"/>
          </w:tcPr>
          <w:p w14:paraId="3D3B8B80" w14:textId="77777777" w:rsidR="002B48AC" w:rsidRDefault="00BA26AA">
            <w:pPr>
              <w:pStyle w:val="TableParagraph"/>
              <w:ind w:left="346"/>
              <w:rPr>
                <w:rFonts w:ascii="Century"/>
              </w:rPr>
            </w:pPr>
            <w:r>
              <w:rPr>
                <w:rFonts w:ascii="Century"/>
              </w:rPr>
              <w:t>&lt;10% not engaged.</w:t>
            </w:r>
          </w:p>
        </w:tc>
        <w:tc>
          <w:tcPr>
            <w:tcW w:w="2289" w:type="dxa"/>
          </w:tcPr>
          <w:p w14:paraId="3D3B8B81" w14:textId="77777777" w:rsidR="002B48AC" w:rsidRDefault="00BA26AA">
            <w:pPr>
              <w:pStyle w:val="TableParagraph"/>
              <w:ind w:right="48"/>
              <w:jc w:val="right"/>
              <w:rPr>
                <w:rFonts w:ascii="Century"/>
              </w:rPr>
            </w:pPr>
            <w:r>
              <w:rPr>
                <w:rFonts w:ascii="Century"/>
              </w:rPr>
              <w:t>&gt;80% implemented</w:t>
            </w:r>
          </w:p>
        </w:tc>
      </w:tr>
      <w:tr w:rsidR="002B48AC" w14:paraId="3D3B8B89" w14:textId="77777777">
        <w:trPr>
          <w:trHeight w:val="744"/>
        </w:trPr>
        <w:tc>
          <w:tcPr>
            <w:tcW w:w="1144" w:type="dxa"/>
          </w:tcPr>
          <w:p w14:paraId="3D3B8B83" w14:textId="77777777" w:rsidR="002B48AC" w:rsidRDefault="002B48AC">
            <w:pPr>
              <w:pStyle w:val="TableParagraph"/>
              <w:spacing w:before="11"/>
              <w:rPr>
                <w:rFonts w:ascii="Century"/>
                <w:sz w:val="19"/>
              </w:rPr>
            </w:pPr>
          </w:p>
          <w:p w14:paraId="3D3B8B84" w14:textId="77777777" w:rsidR="002B48AC" w:rsidRDefault="00BA26AA">
            <w:pPr>
              <w:pStyle w:val="TableParagraph"/>
              <w:ind w:left="50"/>
              <w:rPr>
                <w:rFonts w:ascii="Century"/>
              </w:rPr>
            </w:pPr>
            <w:r>
              <w:rPr>
                <w:rFonts w:ascii="Century"/>
              </w:rPr>
              <w:t>Yellow:</w:t>
            </w:r>
          </w:p>
        </w:tc>
        <w:tc>
          <w:tcPr>
            <w:tcW w:w="2946" w:type="dxa"/>
          </w:tcPr>
          <w:p w14:paraId="3D3B8B85" w14:textId="77777777" w:rsidR="002B48AC" w:rsidRDefault="002B48AC">
            <w:pPr>
              <w:pStyle w:val="TableParagraph"/>
              <w:spacing w:before="11"/>
              <w:rPr>
                <w:rFonts w:ascii="Century"/>
                <w:sz w:val="19"/>
              </w:rPr>
            </w:pPr>
          </w:p>
          <w:p w14:paraId="3D3B8B86" w14:textId="77777777" w:rsidR="002B48AC" w:rsidRDefault="00BA26AA">
            <w:pPr>
              <w:pStyle w:val="TableParagraph"/>
              <w:ind w:left="346"/>
              <w:rPr>
                <w:rFonts w:ascii="Century"/>
              </w:rPr>
            </w:pPr>
            <w:r>
              <w:rPr>
                <w:rFonts w:ascii="Century"/>
              </w:rPr>
              <w:t>10 &lt; 20% not engaged</w:t>
            </w:r>
          </w:p>
        </w:tc>
        <w:tc>
          <w:tcPr>
            <w:tcW w:w="2289" w:type="dxa"/>
          </w:tcPr>
          <w:p w14:paraId="3D3B8B87" w14:textId="77777777" w:rsidR="002B48AC" w:rsidRDefault="002B48AC">
            <w:pPr>
              <w:pStyle w:val="TableParagraph"/>
              <w:spacing w:before="11"/>
              <w:rPr>
                <w:rFonts w:ascii="Century"/>
                <w:sz w:val="19"/>
              </w:rPr>
            </w:pPr>
          </w:p>
          <w:p w14:paraId="3D3B8B88" w14:textId="77777777" w:rsidR="002B48AC" w:rsidRDefault="00BA26AA">
            <w:pPr>
              <w:pStyle w:val="TableParagraph"/>
              <w:ind w:right="48"/>
              <w:jc w:val="right"/>
              <w:rPr>
                <w:rFonts w:ascii="Century"/>
              </w:rPr>
            </w:pPr>
            <w:r>
              <w:rPr>
                <w:rFonts w:ascii="Century"/>
              </w:rPr>
              <w:t>&gt;60% implemented</w:t>
            </w:r>
          </w:p>
        </w:tc>
      </w:tr>
      <w:tr w:rsidR="002B48AC" w14:paraId="3D3B8B90" w14:textId="77777777">
        <w:trPr>
          <w:trHeight w:val="504"/>
        </w:trPr>
        <w:tc>
          <w:tcPr>
            <w:tcW w:w="1144" w:type="dxa"/>
          </w:tcPr>
          <w:p w14:paraId="3D3B8B8A" w14:textId="77777777" w:rsidR="002B48AC" w:rsidRDefault="002B48AC">
            <w:pPr>
              <w:pStyle w:val="TableParagraph"/>
              <w:spacing w:before="11"/>
              <w:rPr>
                <w:rFonts w:ascii="Century"/>
                <w:sz w:val="19"/>
              </w:rPr>
            </w:pPr>
          </w:p>
          <w:p w14:paraId="3D3B8B8B" w14:textId="77777777" w:rsidR="002B48AC" w:rsidRDefault="00BA26AA">
            <w:pPr>
              <w:pStyle w:val="TableParagraph"/>
              <w:spacing w:line="245" w:lineRule="exact"/>
              <w:ind w:left="50"/>
              <w:rPr>
                <w:rFonts w:ascii="Century"/>
              </w:rPr>
            </w:pPr>
            <w:r>
              <w:rPr>
                <w:rFonts w:ascii="Century"/>
              </w:rPr>
              <w:t>Red:</w:t>
            </w:r>
          </w:p>
        </w:tc>
        <w:tc>
          <w:tcPr>
            <w:tcW w:w="2946" w:type="dxa"/>
          </w:tcPr>
          <w:p w14:paraId="3D3B8B8C" w14:textId="77777777" w:rsidR="002B48AC" w:rsidRDefault="002B48AC">
            <w:pPr>
              <w:pStyle w:val="TableParagraph"/>
              <w:spacing w:before="11"/>
              <w:rPr>
                <w:rFonts w:ascii="Century"/>
                <w:sz w:val="19"/>
              </w:rPr>
            </w:pPr>
          </w:p>
          <w:p w14:paraId="3D3B8B8D" w14:textId="77777777" w:rsidR="002B48AC" w:rsidRDefault="00BA26AA">
            <w:pPr>
              <w:pStyle w:val="TableParagraph"/>
              <w:spacing w:line="245" w:lineRule="exact"/>
              <w:ind w:left="346"/>
              <w:rPr>
                <w:rFonts w:ascii="Century"/>
              </w:rPr>
            </w:pPr>
            <w:r>
              <w:rPr>
                <w:rFonts w:ascii="Century"/>
              </w:rPr>
              <w:t>= or &gt;20% not engaged</w:t>
            </w:r>
          </w:p>
        </w:tc>
        <w:tc>
          <w:tcPr>
            <w:tcW w:w="2289" w:type="dxa"/>
          </w:tcPr>
          <w:p w14:paraId="3D3B8B8E" w14:textId="77777777" w:rsidR="002B48AC" w:rsidRDefault="002B48AC">
            <w:pPr>
              <w:pStyle w:val="TableParagraph"/>
              <w:spacing w:before="11"/>
              <w:rPr>
                <w:rFonts w:ascii="Century"/>
                <w:sz w:val="19"/>
              </w:rPr>
            </w:pPr>
          </w:p>
          <w:p w14:paraId="3D3B8B8F" w14:textId="77777777" w:rsidR="002B48AC" w:rsidRDefault="00BA26AA">
            <w:pPr>
              <w:pStyle w:val="TableParagraph"/>
              <w:spacing w:line="245" w:lineRule="exact"/>
              <w:ind w:right="48"/>
              <w:jc w:val="right"/>
              <w:rPr>
                <w:rFonts w:ascii="Century"/>
              </w:rPr>
            </w:pPr>
            <w:r>
              <w:rPr>
                <w:rFonts w:ascii="Century"/>
              </w:rPr>
              <w:t>&lt;60% implemented</w:t>
            </w:r>
          </w:p>
        </w:tc>
      </w:tr>
    </w:tbl>
    <w:p w14:paraId="3D3B8B91" w14:textId="77777777" w:rsidR="002B48AC" w:rsidRDefault="002B48AC">
      <w:pPr>
        <w:pStyle w:val="BodyText"/>
        <w:rPr>
          <w:sz w:val="20"/>
        </w:rPr>
      </w:pPr>
    </w:p>
    <w:p w14:paraId="3D3B8B92" w14:textId="77777777" w:rsidR="002B48AC" w:rsidRDefault="002B48AC">
      <w:pPr>
        <w:pStyle w:val="BodyText"/>
        <w:spacing w:before="1"/>
        <w:rPr>
          <w:sz w:val="20"/>
        </w:rPr>
      </w:pPr>
    </w:p>
    <w:p w14:paraId="3D3B8B93" w14:textId="77777777" w:rsidR="002B48AC" w:rsidRDefault="00BA26AA">
      <w:pPr>
        <w:pStyle w:val="BodyText"/>
        <w:tabs>
          <w:tab w:val="left" w:pos="1600"/>
        </w:tabs>
        <w:ind w:left="1600" w:right="307" w:hanging="1441"/>
      </w:pPr>
      <w:r>
        <w:t>Notes:</w:t>
      </w:r>
      <w:r>
        <w:tab/>
        <w:t>This is a rolling 12-month measure (the most recent past 12 months) recalculated quarterly. If the youth has had more than one HFWA FCC, the youth is attributed to the HFWA provider at</w:t>
      </w:r>
      <w:r>
        <w:rPr>
          <w:spacing w:val="-4"/>
        </w:rPr>
        <w:t xml:space="preserve"> </w:t>
      </w:r>
      <w:r>
        <w:t>discharge.</w:t>
      </w:r>
    </w:p>
    <w:p w14:paraId="3D3B8B94" w14:textId="77777777" w:rsidR="002B48AC" w:rsidRDefault="002B48AC">
      <w:pPr>
        <w:pStyle w:val="BodyText"/>
        <w:rPr>
          <w:sz w:val="26"/>
        </w:rPr>
      </w:pPr>
    </w:p>
    <w:p w14:paraId="3D3B8B95" w14:textId="77777777" w:rsidR="002B48AC" w:rsidRDefault="00BA26AA">
      <w:pPr>
        <w:pStyle w:val="BodyText"/>
        <w:spacing w:before="166"/>
        <w:ind w:left="1600"/>
      </w:pPr>
      <w:r>
        <w:t>N/A indicates no youth were discharged in the period.</w:t>
      </w:r>
    </w:p>
    <w:p w14:paraId="3D3B8B96" w14:textId="77777777" w:rsidR="002B48AC" w:rsidRDefault="002B48AC">
      <w:pPr>
        <w:sectPr w:rsidR="002B48AC">
          <w:pgSz w:w="12240" w:h="15840"/>
          <w:pgMar w:top="1480" w:right="960" w:bottom="1140" w:left="920" w:header="0" w:footer="955" w:gutter="0"/>
          <w:cols w:space="720"/>
        </w:sectPr>
      </w:pPr>
    </w:p>
    <w:p w14:paraId="3D3B8B97" w14:textId="77777777" w:rsidR="002B48AC" w:rsidRDefault="00BA26AA">
      <w:pPr>
        <w:pStyle w:val="Heading1"/>
        <w:ind w:left="676"/>
      </w:pPr>
      <w:r>
        <w:rPr>
          <w:color w:val="0087CE"/>
        </w:rPr>
        <w:lastRenderedPageBreak/>
        <w:t>Fidelity: Family Survey Response</w:t>
      </w:r>
    </w:p>
    <w:p w14:paraId="3D3B8B98" w14:textId="77777777" w:rsidR="002B48AC" w:rsidRDefault="00BA26AA">
      <w:pPr>
        <w:pStyle w:val="BodyText"/>
        <w:tabs>
          <w:tab w:val="left" w:pos="1600"/>
        </w:tabs>
        <w:spacing w:before="480"/>
        <w:ind w:left="1600" w:right="211" w:hanging="1441"/>
      </w:pPr>
      <w:r>
        <w:t>Definition:</w:t>
      </w:r>
      <w:r>
        <w:tab/>
        <w:t>This is the percent of youth with a Caregiver Survey response from the expected survey completions. For youth who have reached the six-month Plan of Care, a survey is to be completed by the caregiver and youth over the age of 11. If the youth is over 18 the youth survey will be counted in this</w:t>
      </w:r>
      <w:r>
        <w:rPr>
          <w:spacing w:val="-10"/>
        </w:rPr>
        <w:t xml:space="preserve"> </w:t>
      </w:r>
      <w:r>
        <w:t>measure.</w:t>
      </w:r>
    </w:p>
    <w:p w14:paraId="3D3B8B99" w14:textId="77777777" w:rsidR="002B48AC" w:rsidRDefault="002B48AC">
      <w:pPr>
        <w:pStyle w:val="BodyText"/>
        <w:rPr>
          <w:sz w:val="26"/>
        </w:rPr>
      </w:pPr>
    </w:p>
    <w:p w14:paraId="3D3B8B9A" w14:textId="77777777" w:rsidR="002B48AC" w:rsidRDefault="00BA26AA">
      <w:pPr>
        <w:pStyle w:val="BodyText"/>
        <w:tabs>
          <w:tab w:val="left" w:pos="1600"/>
        </w:tabs>
        <w:spacing w:before="167" w:line="676" w:lineRule="auto"/>
        <w:ind w:left="160" w:right="1309"/>
      </w:pPr>
      <w:r>
        <w:t>Importance:</w:t>
      </w:r>
      <w:r>
        <w:tab/>
        <w:t>Fidelity to Wraparound is needed to demonstrate high fidelity standards. Source:</w:t>
      </w:r>
      <w:r>
        <w:tab/>
        <w:t>WFI-EZ surveys from the Electronic Health Record</w:t>
      </w:r>
      <w:r>
        <w:rPr>
          <w:spacing w:val="-11"/>
        </w:rPr>
        <w:t xml:space="preserve"> </w:t>
      </w:r>
      <w:r>
        <w:t>(EHR)</w:t>
      </w:r>
    </w:p>
    <w:p w14:paraId="3D3B8B9B" w14:textId="77777777" w:rsidR="002B48AC" w:rsidRDefault="00BA26AA">
      <w:pPr>
        <w:pStyle w:val="BodyText"/>
        <w:tabs>
          <w:tab w:val="left" w:pos="1600"/>
        </w:tabs>
        <w:spacing w:line="261" w:lineRule="exact"/>
        <w:ind w:left="160"/>
      </w:pPr>
      <w:r>
        <w:t>Interval:</w:t>
      </w:r>
      <w:r>
        <w:tab/>
        <w:t>Rolling 12</w:t>
      </w:r>
      <w:r>
        <w:rPr>
          <w:spacing w:val="-4"/>
        </w:rPr>
        <w:t xml:space="preserve"> </w:t>
      </w:r>
      <w:r>
        <w:t>months</w:t>
      </w:r>
    </w:p>
    <w:p w14:paraId="3D3B8B9C" w14:textId="77777777" w:rsidR="002B48AC" w:rsidRDefault="002B48AC">
      <w:pPr>
        <w:pStyle w:val="BodyText"/>
        <w:rPr>
          <w:sz w:val="26"/>
        </w:rPr>
      </w:pPr>
    </w:p>
    <w:p w14:paraId="3D3B8B9D" w14:textId="77777777" w:rsidR="002B48AC" w:rsidRDefault="00BA26AA">
      <w:pPr>
        <w:pStyle w:val="BodyText"/>
        <w:tabs>
          <w:tab w:val="left" w:pos="1600"/>
        </w:tabs>
        <w:spacing w:before="167"/>
        <w:ind w:left="1600" w:right="173" w:hanging="1441"/>
      </w:pPr>
      <w:r>
        <w:t>Numerator:</w:t>
      </w:r>
      <w:r>
        <w:tab/>
        <w:t>Count of youth with a completed caregiver survey or youth survey when the youth is over 18</w:t>
      </w:r>
    </w:p>
    <w:p w14:paraId="3D3B8B9E" w14:textId="77777777" w:rsidR="002B48AC" w:rsidRDefault="002B48AC">
      <w:pPr>
        <w:pStyle w:val="BodyText"/>
        <w:rPr>
          <w:sz w:val="26"/>
        </w:rPr>
      </w:pPr>
    </w:p>
    <w:p w14:paraId="3D3B8B9F" w14:textId="77777777" w:rsidR="002B48AC" w:rsidRDefault="00BA26AA">
      <w:pPr>
        <w:pStyle w:val="BodyText"/>
        <w:spacing w:before="169"/>
        <w:ind w:left="160"/>
      </w:pPr>
      <w:r>
        <w:t>Denominator: Count of youth who have reached the six-month plan of care</w:t>
      </w:r>
    </w:p>
    <w:p w14:paraId="3D3B8BA0" w14:textId="77777777" w:rsidR="002B48AC" w:rsidRDefault="002B48AC">
      <w:pPr>
        <w:pStyle w:val="BodyText"/>
        <w:rPr>
          <w:sz w:val="26"/>
        </w:rPr>
      </w:pPr>
    </w:p>
    <w:p w14:paraId="3D3B8BA1" w14:textId="77777777" w:rsidR="002B48AC" w:rsidRDefault="00BA26AA">
      <w:pPr>
        <w:pStyle w:val="BodyText"/>
        <w:tabs>
          <w:tab w:val="left" w:pos="1600"/>
        </w:tabs>
        <w:spacing w:before="168" w:line="674" w:lineRule="auto"/>
        <w:ind w:left="160" w:right="1037"/>
      </w:pPr>
      <w:r>
        <w:t>HFWA goal: 100% caregiver survey participation. 70% minimum for Fidelity confidence. Green:</w:t>
      </w:r>
      <w:r>
        <w:tab/>
        <w:t>70% or greater participation</w:t>
      </w:r>
    </w:p>
    <w:p w14:paraId="3D3B8BA2" w14:textId="77777777" w:rsidR="002B48AC" w:rsidRDefault="00BA26AA">
      <w:pPr>
        <w:pStyle w:val="BodyText"/>
        <w:tabs>
          <w:tab w:val="left" w:pos="1600"/>
        </w:tabs>
        <w:spacing w:before="1" w:line="674" w:lineRule="auto"/>
        <w:ind w:left="160" w:right="6242"/>
      </w:pPr>
      <w:r>
        <w:t>Yellow:</w:t>
      </w:r>
      <w:r>
        <w:tab/>
        <w:t>50 &lt; 70% participation Red:</w:t>
      </w:r>
      <w:r>
        <w:tab/>
        <w:t>Under 50%</w:t>
      </w:r>
      <w:r>
        <w:rPr>
          <w:spacing w:val="-7"/>
        </w:rPr>
        <w:t xml:space="preserve"> </w:t>
      </w:r>
      <w:r>
        <w:t>participation</w:t>
      </w:r>
    </w:p>
    <w:p w14:paraId="3D3B8BA3" w14:textId="77777777" w:rsidR="002B48AC" w:rsidRDefault="00BA26AA">
      <w:pPr>
        <w:pStyle w:val="BodyText"/>
        <w:tabs>
          <w:tab w:val="left" w:pos="1600"/>
        </w:tabs>
        <w:spacing w:before="4"/>
        <w:ind w:left="1600" w:right="787" w:hanging="1441"/>
      </w:pPr>
      <w:r>
        <w:t>Notes:</w:t>
      </w:r>
      <w:r>
        <w:tab/>
        <w:t>Please see WFI-EZ instructions for complete information on administering the caregiver and youth</w:t>
      </w:r>
      <w:r>
        <w:rPr>
          <w:spacing w:val="-1"/>
        </w:rPr>
        <w:t xml:space="preserve"> </w:t>
      </w:r>
      <w:r>
        <w:t>surveys.</w:t>
      </w:r>
    </w:p>
    <w:p w14:paraId="3D3B8BA4" w14:textId="77777777" w:rsidR="002B48AC" w:rsidRDefault="002B48AC">
      <w:pPr>
        <w:sectPr w:rsidR="002B48AC">
          <w:pgSz w:w="12240" w:h="15840"/>
          <w:pgMar w:top="1480" w:right="960" w:bottom="1140" w:left="920" w:header="0" w:footer="955" w:gutter="0"/>
          <w:cols w:space="720"/>
        </w:sectPr>
      </w:pPr>
    </w:p>
    <w:p w14:paraId="3D3B8BA5" w14:textId="77777777" w:rsidR="002B48AC" w:rsidRDefault="00BA26AA">
      <w:pPr>
        <w:pStyle w:val="Heading1"/>
        <w:ind w:left="580" w:right="0"/>
        <w:jc w:val="left"/>
      </w:pPr>
      <w:r>
        <w:rPr>
          <w:color w:val="0087CE"/>
        </w:rPr>
        <w:lastRenderedPageBreak/>
        <w:t>Efficiency: Authorization Documentation</w:t>
      </w:r>
    </w:p>
    <w:p w14:paraId="3D3B8BA6" w14:textId="77777777" w:rsidR="002B48AC" w:rsidRDefault="00BA26AA">
      <w:pPr>
        <w:pStyle w:val="BodyText"/>
        <w:tabs>
          <w:tab w:val="left" w:pos="1600"/>
        </w:tabs>
        <w:spacing w:before="480"/>
        <w:ind w:left="160"/>
      </w:pPr>
      <w:r>
        <w:t>Definition:</w:t>
      </w:r>
      <w:r>
        <w:tab/>
        <w:t>Percentage of authorizations approved with complete</w:t>
      </w:r>
      <w:r>
        <w:rPr>
          <w:spacing w:val="-12"/>
        </w:rPr>
        <w:t xml:space="preserve"> </w:t>
      </w:r>
      <w:r>
        <w:t>documentation.</w:t>
      </w:r>
    </w:p>
    <w:p w14:paraId="3D3B8BA7" w14:textId="77777777" w:rsidR="002B48AC" w:rsidRDefault="002B48AC">
      <w:pPr>
        <w:pStyle w:val="BodyText"/>
        <w:rPr>
          <w:sz w:val="26"/>
        </w:rPr>
      </w:pPr>
    </w:p>
    <w:p w14:paraId="3D3B8BA8" w14:textId="77777777" w:rsidR="002B48AC" w:rsidRDefault="00BA26AA">
      <w:pPr>
        <w:pStyle w:val="BodyText"/>
        <w:tabs>
          <w:tab w:val="left" w:pos="1600"/>
        </w:tabs>
        <w:spacing w:before="166"/>
        <w:ind w:left="1600" w:right="1036" w:hanging="1441"/>
      </w:pPr>
      <w:r>
        <w:t>Importance:</w:t>
      </w:r>
      <w:r>
        <w:tab/>
        <w:t>Efficiency in documentation enables HFWA staff to focus on the activities</w:t>
      </w:r>
      <w:r>
        <w:rPr>
          <w:spacing w:val="-31"/>
        </w:rPr>
        <w:t xml:space="preserve"> </w:t>
      </w:r>
      <w:r>
        <w:t>of wraparound.</w:t>
      </w:r>
    </w:p>
    <w:p w14:paraId="3D3B8BA9" w14:textId="77777777" w:rsidR="002B48AC" w:rsidRDefault="002B48AC">
      <w:pPr>
        <w:pStyle w:val="BodyText"/>
        <w:rPr>
          <w:sz w:val="26"/>
        </w:rPr>
      </w:pPr>
    </w:p>
    <w:p w14:paraId="3D3B8BAA" w14:textId="77777777" w:rsidR="002B48AC" w:rsidRDefault="00BA26AA">
      <w:pPr>
        <w:pStyle w:val="BodyText"/>
        <w:tabs>
          <w:tab w:val="left" w:pos="1600"/>
        </w:tabs>
        <w:spacing w:before="167" w:line="676" w:lineRule="auto"/>
        <w:ind w:left="160" w:right="2980"/>
      </w:pPr>
      <w:r>
        <w:t>Source:</w:t>
      </w:r>
      <w:r>
        <w:tab/>
        <w:t>Authorizations from the Electronic Health Record (EHR) Interval:</w:t>
      </w:r>
      <w:r>
        <w:tab/>
        <w:t>The most recent</w:t>
      </w:r>
      <w:r>
        <w:rPr>
          <w:spacing w:val="-1"/>
        </w:rPr>
        <w:t xml:space="preserve"> </w:t>
      </w:r>
      <w:r>
        <w:t>quarter</w:t>
      </w:r>
    </w:p>
    <w:p w14:paraId="3D3B8BAB" w14:textId="77777777" w:rsidR="002B48AC" w:rsidRDefault="00BA26AA">
      <w:pPr>
        <w:pStyle w:val="BodyText"/>
        <w:tabs>
          <w:tab w:val="left" w:pos="1600"/>
        </w:tabs>
        <w:spacing w:line="674" w:lineRule="auto"/>
        <w:ind w:left="160" w:right="5335"/>
      </w:pPr>
      <w:r>
        <w:t>Numerator:</w:t>
      </w:r>
      <w:r>
        <w:tab/>
        <w:t>Youth with authorizations Denominator: Youth with authorization</w:t>
      </w:r>
      <w:r>
        <w:rPr>
          <w:spacing w:val="-42"/>
        </w:rPr>
        <w:t xml:space="preserve"> </w:t>
      </w:r>
      <w:r>
        <w:t>reviews HFWA goal:</w:t>
      </w:r>
      <w:r>
        <w:rPr>
          <w:spacing w:val="6"/>
        </w:rPr>
        <w:t xml:space="preserve"> </w:t>
      </w:r>
      <w:r>
        <w:t>100%</w:t>
      </w:r>
    </w:p>
    <w:p w14:paraId="3D3B8BAC" w14:textId="77777777" w:rsidR="002B48AC" w:rsidRDefault="00BA26AA">
      <w:pPr>
        <w:pStyle w:val="BodyText"/>
        <w:tabs>
          <w:tab w:val="left" w:pos="1600"/>
        </w:tabs>
        <w:spacing w:before="2"/>
        <w:ind w:left="160"/>
      </w:pPr>
      <w:r>
        <w:t>Green:</w:t>
      </w:r>
      <w:r>
        <w:tab/>
        <w:t>100%</w:t>
      </w:r>
    </w:p>
    <w:p w14:paraId="3D3B8BAD" w14:textId="77777777" w:rsidR="002B48AC" w:rsidRDefault="002B48AC">
      <w:pPr>
        <w:pStyle w:val="BodyText"/>
        <w:rPr>
          <w:sz w:val="26"/>
        </w:rPr>
      </w:pPr>
    </w:p>
    <w:p w14:paraId="3D3B8BAE" w14:textId="77777777" w:rsidR="002B48AC" w:rsidRDefault="00BA26AA">
      <w:pPr>
        <w:pStyle w:val="BodyText"/>
        <w:tabs>
          <w:tab w:val="left" w:pos="1600"/>
        </w:tabs>
        <w:spacing w:before="170"/>
        <w:ind w:left="160"/>
      </w:pPr>
      <w:r>
        <w:t>Yellow:</w:t>
      </w:r>
      <w:r>
        <w:tab/>
        <w:t>95% &lt;</w:t>
      </w:r>
      <w:r>
        <w:rPr>
          <w:spacing w:val="-1"/>
        </w:rPr>
        <w:t xml:space="preserve"> </w:t>
      </w:r>
      <w:r>
        <w:t>100%</w:t>
      </w:r>
    </w:p>
    <w:p w14:paraId="3D3B8BAF" w14:textId="77777777" w:rsidR="002B48AC" w:rsidRDefault="002B48AC">
      <w:pPr>
        <w:pStyle w:val="BodyText"/>
        <w:rPr>
          <w:sz w:val="26"/>
        </w:rPr>
      </w:pPr>
    </w:p>
    <w:p w14:paraId="3D3B8BB0" w14:textId="77777777" w:rsidR="002B48AC" w:rsidRDefault="00BA26AA">
      <w:pPr>
        <w:pStyle w:val="BodyText"/>
        <w:tabs>
          <w:tab w:val="left" w:pos="1600"/>
        </w:tabs>
        <w:spacing w:before="167"/>
        <w:ind w:left="160"/>
      </w:pPr>
      <w:r>
        <w:t>Red:</w:t>
      </w:r>
      <w:r>
        <w:tab/>
        <w:t>&lt; 95%</w:t>
      </w:r>
    </w:p>
    <w:p w14:paraId="3D3B8BB1" w14:textId="77777777" w:rsidR="002B48AC" w:rsidRDefault="002B48AC">
      <w:pPr>
        <w:pStyle w:val="BodyText"/>
        <w:rPr>
          <w:sz w:val="26"/>
        </w:rPr>
      </w:pPr>
    </w:p>
    <w:p w14:paraId="3D3B8BB2" w14:textId="77777777" w:rsidR="002B48AC" w:rsidRDefault="00BA26AA">
      <w:pPr>
        <w:pStyle w:val="BodyText"/>
        <w:tabs>
          <w:tab w:val="left" w:pos="1600"/>
        </w:tabs>
        <w:spacing w:before="167"/>
        <w:ind w:left="160"/>
      </w:pPr>
      <w:r>
        <w:t>Notes:</w:t>
      </w:r>
      <w:r>
        <w:tab/>
        <w:t>Provider assignment is based on the provider of the authorization</w:t>
      </w:r>
      <w:r>
        <w:rPr>
          <w:spacing w:val="-17"/>
        </w:rPr>
        <w:t xml:space="preserve"> </w:t>
      </w:r>
      <w:r>
        <w:t>request.</w:t>
      </w:r>
    </w:p>
    <w:p w14:paraId="3D3B8BB3" w14:textId="77777777" w:rsidR="002B48AC" w:rsidRDefault="002B48AC">
      <w:pPr>
        <w:sectPr w:rsidR="002B48AC">
          <w:pgSz w:w="12240" w:h="15840"/>
          <w:pgMar w:top="1480" w:right="960" w:bottom="1140" w:left="920" w:header="0" w:footer="955" w:gutter="0"/>
          <w:cols w:space="720"/>
        </w:sectPr>
      </w:pPr>
    </w:p>
    <w:p w14:paraId="3D3B8BB4" w14:textId="77777777" w:rsidR="002B48AC" w:rsidRDefault="00BA26AA">
      <w:pPr>
        <w:pStyle w:val="Heading1"/>
        <w:ind w:left="1504" w:right="0"/>
        <w:jc w:val="left"/>
      </w:pPr>
      <w:r>
        <w:rPr>
          <w:color w:val="0087CE"/>
        </w:rPr>
        <w:lastRenderedPageBreak/>
        <w:t>Outcome: Improved Functioning</w:t>
      </w:r>
    </w:p>
    <w:p w14:paraId="3D3B8BB5" w14:textId="77777777" w:rsidR="002B48AC" w:rsidRDefault="00BA26AA">
      <w:pPr>
        <w:pStyle w:val="BodyText"/>
        <w:tabs>
          <w:tab w:val="left" w:pos="1600"/>
        </w:tabs>
        <w:spacing w:before="480"/>
        <w:ind w:left="1600" w:right="155" w:hanging="1441"/>
      </w:pPr>
      <w:r>
        <w:t>Definition:</w:t>
      </w:r>
      <w:r>
        <w:tab/>
        <w:t>Percent of youth with improved, same, and newly identified need scores on the Child and Adolescent Needs and Strengths (CANS) global sum quarter over</w:t>
      </w:r>
      <w:r>
        <w:rPr>
          <w:spacing w:val="-11"/>
        </w:rPr>
        <w:t xml:space="preserve"> </w:t>
      </w:r>
      <w:r>
        <w:t>quarter.</w:t>
      </w:r>
    </w:p>
    <w:p w14:paraId="3D3B8BB6" w14:textId="77777777" w:rsidR="002B48AC" w:rsidRDefault="002B48AC">
      <w:pPr>
        <w:pStyle w:val="BodyText"/>
        <w:rPr>
          <w:sz w:val="26"/>
        </w:rPr>
      </w:pPr>
    </w:p>
    <w:p w14:paraId="3D3B8BB7" w14:textId="5ED83F03" w:rsidR="002B48AC" w:rsidRDefault="00BA26AA">
      <w:pPr>
        <w:pStyle w:val="BodyText"/>
        <w:tabs>
          <w:tab w:val="left" w:pos="1600"/>
        </w:tabs>
        <w:spacing w:before="166"/>
        <w:ind w:left="1600" w:right="307" w:hanging="1441"/>
      </w:pPr>
      <w:r>
        <w:t>Importance:</w:t>
      </w:r>
      <w:r>
        <w:tab/>
        <w:t xml:space="preserve">The CANS is a measure of needs and strengths for the youth and their family. The CANS should be reviewed and updated each quarter with the plan of </w:t>
      </w:r>
      <w:r w:rsidR="0030225B">
        <w:t>care to</w:t>
      </w:r>
      <w:r>
        <w:t xml:space="preserve"> reflect youth progress as well as ongoing needs and newly identified</w:t>
      </w:r>
      <w:r>
        <w:rPr>
          <w:spacing w:val="-15"/>
        </w:rPr>
        <w:t xml:space="preserve"> </w:t>
      </w:r>
      <w:r>
        <w:t>needs.</w:t>
      </w:r>
    </w:p>
    <w:p w14:paraId="3D3B8BB8" w14:textId="77777777" w:rsidR="002B48AC" w:rsidRDefault="002B48AC">
      <w:pPr>
        <w:pStyle w:val="BodyText"/>
        <w:rPr>
          <w:sz w:val="26"/>
        </w:rPr>
      </w:pPr>
    </w:p>
    <w:p w14:paraId="3D3B8BB9" w14:textId="77777777" w:rsidR="002B48AC" w:rsidRDefault="00BA26AA">
      <w:pPr>
        <w:pStyle w:val="BodyText"/>
        <w:tabs>
          <w:tab w:val="left" w:pos="1600"/>
        </w:tabs>
        <w:spacing w:before="169" w:line="674" w:lineRule="auto"/>
        <w:ind w:left="160" w:right="3028"/>
      </w:pPr>
      <w:r>
        <w:t>Source:</w:t>
      </w:r>
      <w:r>
        <w:tab/>
        <w:t>CANS entered from the Electronic Health Record (EHR) Interval:</w:t>
      </w:r>
      <w:r>
        <w:tab/>
        <w:t>Most recent</w:t>
      </w:r>
      <w:r>
        <w:rPr>
          <w:spacing w:val="-1"/>
        </w:rPr>
        <w:t xml:space="preserve"> </w:t>
      </w:r>
      <w:r>
        <w:t>quarter</w:t>
      </w:r>
    </w:p>
    <w:p w14:paraId="3D3B8BBA" w14:textId="77777777" w:rsidR="002B48AC" w:rsidRDefault="00BA26AA">
      <w:pPr>
        <w:pStyle w:val="BodyText"/>
        <w:tabs>
          <w:tab w:val="left" w:pos="1600"/>
        </w:tabs>
        <w:spacing w:before="2"/>
        <w:ind w:left="1600" w:right="402" w:hanging="1441"/>
      </w:pPr>
      <w:r>
        <w:t>Numerator:</w:t>
      </w:r>
      <w:r>
        <w:tab/>
        <w:t>Count of youth with improved (lower score), same (0 change), and newly identified needs (higher score) on global score of subsequent</w:t>
      </w:r>
      <w:r>
        <w:rPr>
          <w:spacing w:val="-8"/>
        </w:rPr>
        <w:t xml:space="preserve"> </w:t>
      </w:r>
      <w:r>
        <w:t>CANS</w:t>
      </w:r>
    </w:p>
    <w:p w14:paraId="3D3B8BBB" w14:textId="77777777" w:rsidR="002B48AC" w:rsidRDefault="002B48AC">
      <w:pPr>
        <w:pStyle w:val="BodyText"/>
        <w:rPr>
          <w:sz w:val="26"/>
        </w:rPr>
      </w:pPr>
    </w:p>
    <w:p w14:paraId="3D3B8BBC" w14:textId="77777777" w:rsidR="002B48AC" w:rsidRDefault="00BA26AA">
      <w:pPr>
        <w:pStyle w:val="BodyText"/>
        <w:spacing w:before="169"/>
        <w:ind w:left="160"/>
      </w:pPr>
      <w:r>
        <w:t>Denominator: Count of youth with subsequent CANS</w:t>
      </w:r>
    </w:p>
    <w:p w14:paraId="3D3B8BBD" w14:textId="77777777" w:rsidR="002B48AC" w:rsidRDefault="002B48AC">
      <w:pPr>
        <w:pStyle w:val="BodyText"/>
        <w:rPr>
          <w:sz w:val="26"/>
        </w:rPr>
      </w:pPr>
    </w:p>
    <w:p w14:paraId="3D3B8BBE" w14:textId="77777777" w:rsidR="002B48AC" w:rsidRDefault="00BA26AA">
      <w:pPr>
        <w:pStyle w:val="BodyText"/>
        <w:tabs>
          <w:tab w:val="left" w:pos="1600"/>
        </w:tabs>
        <w:spacing w:before="167" w:line="674" w:lineRule="auto"/>
        <w:ind w:left="160" w:right="2734"/>
      </w:pPr>
      <w:r>
        <w:t>HFWA goal: At least 50% youth with quarter over quarter improvement Green:</w:t>
      </w:r>
      <w:r>
        <w:tab/>
        <w:t>&gt; 50% with improved (lower score) CME</w:t>
      </w:r>
      <w:r>
        <w:rPr>
          <w:spacing w:val="-3"/>
        </w:rPr>
        <w:t xml:space="preserve"> </w:t>
      </w:r>
      <w:r>
        <w:t>only</w:t>
      </w:r>
    </w:p>
    <w:p w14:paraId="3D3B8BBF" w14:textId="77777777" w:rsidR="002B48AC" w:rsidRDefault="00BA26AA">
      <w:pPr>
        <w:pStyle w:val="BodyText"/>
        <w:tabs>
          <w:tab w:val="left" w:pos="1600"/>
        </w:tabs>
        <w:spacing w:before="2" w:line="676" w:lineRule="auto"/>
        <w:ind w:left="160" w:right="3826"/>
      </w:pPr>
      <w:r>
        <w:t>Yellow:</w:t>
      </w:r>
      <w:r>
        <w:tab/>
        <w:t>25 &lt; 50% with improved (lower score) CME only Red:</w:t>
      </w:r>
      <w:r>
        <w:tab/>
        <w:t>&lt;25% with improved (lower score) CME only Notes:</w:t>
      </w:r>
      <w:r>
        <w:tab/>
        <w:t>Color for this measure is only provided for</w:t>
      </w:r>
      <w:r>
        <w:rPr>
          <w:spacing w:val="-19"/>
        </w:rPr>
        <w:t xml:space="preserve"> </w:t>
      </w:r>
      <w:r>
        <w:t>CME.</w:t>
      </w:r>
    </w:p>
    <w:p w14:paraId="3D3B8BC0" w14:textId="77777777" w:rsidR="002B48AC" w:rsidRDefault="00BA26AA">
      <w:pPr>
        <w:pStyle w:val="BodyText"/>
        <w:ind w:left="1600" w:right="506"/>
      </w:pPr>
      <w:r>
        <w:t>As only subsequent (reassessments and discharge) CANS are included, providers with only initial CANS in the quarter will not have a functioning measure.</w:t>
      </w:r>
    </w:p>
    <w:p w14:paraId="3D3B8BC1" w14:textId="77777777" w:rsidR="002B48AC" w:rsidRDefault="002B48AC">
      <w:pPr>
        <w:pStyle w:val="BodyText"/>
        <w:rPr>
          <w:sz w:val="26"/>
        </w:rPr>
      </w:pPr>
    </w:p>
    <w:p w14:paraId="3D3B8BC2" w14:textId="77777777" w:rsidR="002B48AC" w:rsidRDefault="00BA26AA">
      <w:pPr>
        <w:pStyle w:val="BodyText"/>
        <w:spacing w:before="164"/>
        <w:ind w:left="1600"/>
      </w:pPr>
      <w:r>
        <w:t>This is a measure of CANS improvement.</w:t>
      </w:r>
    </w:p>
    <w:p w14:paraId="3D3B8BC3" w14:textId="77777777" w:rsidR="002B48AC" w:rsidRDefault="002B48AC">
      <w:pPr>
        <w:sectPr w:rsidR="002B48AC">
          <w:pgSz w:w="12240" w:h="15840"/>
          <w:pgMar w:top="1480" w:right="960" w:bottom="1140" w:left="920" w:header="0" w:footer="955" w:gutter="0"/>
          <w:cols w:space="720"/>
        </w:sectPr>
      </w:pPr>
    </w:p>
    <w:p w14:paraId="3D3B8BC4" w14:textId="77777777" w:rsidR="002B48AC" w:rsidRDefault="00BA26AA">
      <w:pPr>
        <w:pStyle w:val="Heading1"/>
        <w:ind w:left="674"/>
      </w:pPr>
      <w:r>
        <w:rPr>
          <w:color w:val="0087CE"/>
        </w:rPr>
        <w:lastRenderedPageBreak/>
        <w:t>Outcome: Successful Graduation from</w:t>
      </w:r>
    </w:p>
    <w:p w14:paraId="3D3B8BC5" w14:textId="77777777" w:rsidR="002B48AC" w:rsidRDefault="00BA26AA">
      <w:pPr>
        <w:ind w:left="676" w:right="639"/>
        <w:jc w:val="center"/>
        <w:rPr>
          <w:rFonts w:ascii="Calibri"/>
          <w:sz w:val="56"/>
        </w:rPr>
      </w:pPr>
      <w:r>
        <w:rPr>
          <w:rFonts w:ascii="Calibri"/>
          <w:color w:val="0087CE"/>
          <w:sz w:val="56"/>
        </w:rPr>
        <w:t>HFWA</w:t>
      </w:r>
    </w:p>
    <w:p w14:paraId="3D3B8BC6" w14:textId="77777777" w:rsidR="002B48AC" w:rsidRDefault="00BA26AA">
      <w:pPr>
        <w:pStyle w:val="BodyText"/>
        <w:tabs>
          <w:tab w:val="left" w:pos="1600"/>
        </w:tabs>
        <w:spacing w:before="480"/>
        <w:ind w:left="1600" w:right="211" w:hanging="1441"/>
      </w:pPr>
      <w:r>
        <w:t>Definition:</w:t>
      </w:r>
      <w:r>
        <w:tab/>
        <w:t>The percentage of engaged youth who have a successful discharge coded at graduation from formal HFWA. Successful discharge are reason codes for goals met or youth moved to a different state</w:t>
      </w:r>
      <w:r>
        <w:rPr>
          <w:spacing w:val="-6"/>
        </w:rPr>
        <w:t xml:space="preserve"> </w:t>
      </w:r>
      <w:r>
        <w:t>waiver.</w:t>
      </w:r>
    </w:p>
    <w:p w14:paraId="3D3B8BC7" w14:textId="77777777" w:rsidR="002B48AC" w:rsidRDefault="002B48AC">
      <w:pPr>
        <w:pStyle w:val="BodyText"/>
        <w:rPr>
          <w:sz w:val="26"/>
        </w:rPr>
      </w:pPr>
    </w:p>
    <w:p w14:paraId="3D3B8BC8" w14:textId="77777777" w:rsidR="002B48AC" w:rsidRDefault="00BA26AA">
      <w:pPr>
        <w:pStyle w:val="BodyText"/>
        <w:spacing w:before="166"/>
        <w:ind w:left="1600" w:right="185" w:hanging="1441"/>
        <w:jc w:val="both"/>
      </w:pPr>
      <w:r>
        <w:t>Importance: Families who identify that their goals are met have achieved maximum benefit from formal HFWA and should transition to informal wraparound. Youth who qualify for and enroll in a different waiver are also successful transitions.</w:t>
      </w:r>
    </w:p>
    <w:p w14:paraId="3D3B8BC9" w14:textId="77777777" w:rsidR="002B48AC" w:rsidRDefault="002B48AC">
      <w:pPr>
        <w:pStyle w:val="BodyText"/>
        <w:rPr>
          <w:sz w:val="26"/>
        </w:rPr>
      </w:pPr>
    </w:p>
    <w:p w14:paraId="3D3B8BCA" w14:textId="77777777" w:rsidR="002B48AC" w:rsidRDefault="00BA26AA">
      <w:pPr>
        <w:pStyle w:val="BodyText"/>
        <w:tabs>
          <w:tab w:val="left" w:pos="1600"/>
        </w:tabs>
        <w:spacing w:before="169" w:line="674" w:lineRule="auto"/>
        <w:ind w:left="160" w:right="2142"/>
      </w:pPr>
      <w:r>
        <w:t>Source:</w:t>
      </w:r>
      <w:r>
        <w:tab/>
        <w:t>Disenrollment Reasons from the Electronic Health Record (EHR) Interval:</w:t>
      </w:r>
      <w:r>
        <w:tab/>
        <w:t>Most recent rolling 12</w:t>
      </w:r>
      <w:r>
        <w:rPr>
          <w:spacing w:val="-7"/>
        </w:rPr>
        <w:t xml:space="preserve"> </w:t>
      </w:r>
      <w:r>
        <w:t>months</w:t>
      </w:r>
    </w:p>
    <w:p w14:paraId="3D3B8BCB" w14:textId="77777777" w:rsidR="002B48AC" w:rsidRDefault="00BA26AA">
      <w:pPr>
        <w:pStyle w:val="BodyText"/>
        <w:tabs>
          <w:tab w:val="left" w:pos="1600"/>
        </w:tabs>
        <w:spacing w:before="2"/>
        <w:ind w:left="1600" w:right="595" w:hanging="1441"/>
      </w:pPr>
      <w:r>
        <w:t>Numerator:</w:t>
      </w:r>
      <w:r>
        <w:tab/>
        <w:t>Count of youth discharged with disenrollment reason as goals met or moved to a different state</w:t>
      </w:r>
      <w:r>
        <w:rPr>
          <w:spacing w:val="-5"/>
        </w:rPr>
        <w:t xml:space="preserve"> </w:t>
      </w:r>
      <w:r>
        <w:t>waiver</w:t>
      </w:r>
    </w:p>
    <w:p w14:paraId="3D3B8BCC" w14:textId="77777777" w:rsidR="002B48AC" w:rsidRDefault="002B48AC">
      <w:pPr>
        <w:pStyle w:val="BodyText"/>
        <w:rPr>
          <w:sz w:val="26"/>
        </w:rPr>
      </w:pPr>
    </w:p>
    <w:p w14:paraId="3D3B8BCD" w14:textId="77777777" w:rsidR="002B48AC" w:rsidRDefault="00BA26AA">
      <w:pPr>
        <w:pStyle w:val="BodyText"/>
        <w:spacing w:before="169"/>
        <w:ind w:left="1600" w:right="302" w:hanging="1441"/>
        <w:jc w:val="both"/>
      </w:pPr>
      <w:r>
        <w:t>Denominator:</w:t>
      </w:r>
      <w:r>
        <w:rPr>
          <w:spacing w:val="-26"/>
        </w:rPr>
        <w:t xml:space="preserve"> </w:t>
      </w:r>
      <w:r>
        <w:t>Count</w:t>
      </w:r>
      <w:r>
        <w:rPr>
          <w:spacing w:val="-1"/>
        </w:rPr>
        <w:t xml:space="preserve"> </w:t>
      </w:r>
      <w:r>
        <w:t>of</w:t>
      </w:r>
      <w:r>
        <w:rPr>
          <w:spacing w:val="-3"/>
        </w:rPr>
        <w:t xml:space="preserve"> </w:t>
      </w:r>
      <w:r>
        <w:t>youth</w:t>
      </w:r>
      <w:r>
        <w:rPr>
          <w:spacing w:val="-3"/>
        </w:rPr>
        <w:t xml:space="preserve"> </w:t>
      </w:r>
      <w:r>
        <w:t>discharged,</w:t>
      </w:r>
      <w:r>
        <w:rPr>
          <w:spacing w:val="-3"/>
        </w:rPr>
        <w:t xml:space="preserve"> </w:t>
      </w:r>
      <w:r>
        <w:t>excluding</w:t>
      </w:r>
      <w:r>
        <w:rPr>
          <w:spacing w:val="-4"/>
        </w:rPr>
        <w:t xml:space="preserve"> </w:t>
      </w:r>
      <w:r>
        <w:t>disenrollment</w:t>
      </w:r>
      <w:r>
        <w:rPr>
          <w:spacing w:val="-3"/>
        </w:rPr>
        <w:t xml:space="preserve"> </w:t>
      </w:r>
      <w:r>
        <w:t>reason</w:t>
      </w:r>
      <w:r>
        <w:rPr>
          <w:spacing w:val="-3"/>
        </w:rPr>
        <w:t xml:space="preserve"> </w:t>
      </w:r>
      <w:r>
        <w:t>codes</w:t>
      </w:r>
      <w:r>
        <w:rPr>
          <w:spacing w:val="-3"/>
        </w:rPr>
        <w:t xml:space="preserve"> </w:t>
      </w:r>
      <w:r>
        <w:t>for</w:t>
      </w:r>
      <w:r>
        <w:rPr>
          <w:spacing w:val="-2"/>
        </w:rPr>
        <w:t xml:space="preserve"> </w:t>
      </w:r>
      <w:r>
        <w:t>family</w:t>
      </w:r>
      <w:r>
        <w:rPr>
          <w:spacing w:val="-4"/>
        </w:rPr>
        <w:t xml:space="preserve"> </w:t>
      </w:r>
      <w:r>
        <w:t>moving outside Wyoming and deceased</w:t>
      </w:r>
      <w:r>
        <w:rPr>
          <w:spacing w:val="2"/>
        </w:rPr>
        <w:t xml:space="preserve"> </w:t>
      </w:r>
      <w:r>
        <w:t>non-suicide</w:t>
      </w:r>
    </w:p>
    <w:p w14:paraId="3D3B8BCE" w14:textId="77777777" w:rsidR="002B48AC" w:rsidRDefault="002B48AC">
      <w:pPr>
        <w:pStyle w:val="BodyText"/>
        <w:rPr>
          <w:sz w:val="26"/>
        </w:rPr>
      </w:pPr>
    </w:p>
    <w:p w14:paraId="3D3B8BCF" w14:textId="77777777" w:rsidR="002B48AC" w:rsidRDefault="00BA26AA">
      <w:pPr>
        <w:pStyle w:val="BodyText"/>
        <w:spacing w:before="166"/>
        <w:ind w:left="160"/>
      </w:pPr>
      <w:r>
        <w:t>HFWA goal: 75%</w:t>
      </w:r>
    </w:p>
    <w:p w14:paraId="3D3B8BD0" w14:textId="77777777" w:rsidR="002B48AC" w:rsidRDefault="002B48AC">
      <w:pPr>
        <w:pStyle w:val="BodyText"/>
        <w:rPr>
          <w:sz w:val="26"/>
        </w:rPr>
      </w:pPr>
    </w:p>
    <w:p w14:paraId="3D3B8BD1" w14:textId="77777777" w:rsidR="002B48AC" w:rsidRDefault="00BA26AA">
      <w:pPr>
        <w:pStyle w:val="BodyText"/>
        <w:tabs>
          <w:tab w:val="left" w:pos="1600"/>
        </w:tabs>
        <w:spacing w:before="167"/>
        <w:ind w:left="160"/>
      </w:pPr>
      <w:r>
        <w:t>Green:</w:t>
      </w:r>
      <w:r>
        <w:tab/>
        <w:t>&gt;75%</w:t>
      </w:r>
    </w:p>
    <w:p w14:paraId="3D3B8BD2" w14:textId="77777777" w:rsidR="002B48AC" w:rsidRDefault="002B48AC">
      <w:pPr>
        <w:pStyle w:val="BodyText"/>
        <w:rPr>
          <w:sz w:val="26"/>
        </w:rPr>
      </w:pPr>
    </w:p>
    <w:p w14:paraId="3D3B8BD3" w14:textId="77777777" w:rsidR="002B48AC" w:rsidRDefault="00BA26AA">
      <w:pPr>
        <w:pStyle w:val="BodyText"/>
        <w:tabs>
          <w:tab w:val="left" w:pos="1600"/>
        </w:tabs>
        <w:spacing w:before="167"/>
        <w:ind w:left="160"/>
      </w:pPr>
      <w:r>
        <w:t>Yellow:</w:t>
      </w:r>
      <w:r>
        <w:tab/>
        <w:t>50% &lt;</w:t>
      </w:r>
      <w:r>
        <w:rPr>
          <w:spacing w:val="-1"/>
        </w:rPr>
        <w:t xml:space="preserve"> </w:t>
      </w:r>
      <w:r>
        <w:t>75%</w:t>
      </w:r>
    </w:p>
    <w:p w14:paraId="3D3B8BD4" w14:textId="77777777" w:rsidR="002B48AC" w:rsidRDefault="002B48AC">
      <w:pPr>
        <w:pStyle w:val="BodyText"/>
        <w:rPr>
          <w:sz w:val="26"/>
        </w:rPr>
      </w:pPr>
    </w:p>
    <w:p w14:paraId="3D3B8BD5" w14:textId="77777777" w:rsidR="002B48AC" w:rsidRDefault="00BA26AA">
      <w:pPr>
        <w:pStyle w:val="BodyText"/>
        <w:tabs>
          <w:tab w:val="left" w:pos="1600"/>
        </w:tabs>
        <w:spacing w:before="170"/>
        <w:ind w:left="160"/>
      </w:pPr>
      <w:r>
        <w:t>Red:</w:t>
      </w:r>
      <w:r>
        <w:tab/>
        <w:t>&lt;50%</w:t>
      </w:r>
    </w:p>
    <w:p w14:paraId="3D3B8BD6" w14:textId="77777777" w:rsidR="002B48AC" w:rsidRDefault="002B48AC">
      <w:pPr>
        <w:pStyle w:val="BodyText"/>
        <w:rPr>
          <w:sz w:val="26"/>
        </w:rPr>
      </w:pPr>
    </w:p>
    <w:p w14:paraId="3D3B8BD7" w14:textId="77777777" w:rsidR="002B48AC" w:rsidRDefault="00BA26AA">
      <w:pPr>
        <w:pStyle w:val="BodyText"/>
        <w:tabs>
          <w:tab w:val="left" w:pos="1600"/>
        </w:tabs>
        <w:spacing w:before="167"/>
        <w:ind w:left="160"/>
      </w:pPr>
      <w:r>
        <w:t>Notes:</w:t>
      </w:r>
      <w:r>
        <w:tab/>
        <w:t>Disenrollment reason codes are identified in the disenrollment</w:t>
      </w:r>
      <w:r>
        <w:rPr>
          <w:spacing w:val="-10"/>
        </w:rPr>
        <w:t xml:space="preserve"> </w:t>
      </w:r>
      <w:r>
        <w:t>letter.</w:t>
      </w:r>
    </w:p>
    <w:p w14:paraId="3D3B8BD8" w14:textId="77777777" w:rsidR="002B48AC" w:rsidRDefault="002B48AC">
      <w:pPr>
        <w:pStyle w:val="BodyText"/>
        <w:rPr>
          <w:sz w:val="26"/>
        </w:rPr>
      </w:pPr>
    </w:p>
    <w:p w14:paraId="3D3B8BD9" w14:textId="77777777" w:rsidR="002B48AC" w:rsidRDefault="00BA26AA">
      <w:pPr>
        <w:pStyle w:val="BodyText"/>
        <w:spacing w:before="167"/>
        <w:ind w:left="1600"/>
      </w:pPr>
      <w:r>
        <w:t>N/A indicates no youth were discharged in the period.</w:t>
      </w:r>
    </w:p>
    <w:p w14:paraId="3D3B8BDA" w14:textId="77777777" w:rsidR="002B48AC" w:rsidRDefault="002B48AC">
      <w:pPr>
        <w:sectPr w:rsidR="002B48AC">
          <w:pgSz w:w="12240" w:h="15840"/>
          <w:pgMar w:top="1480" w:right="960" w:bottom="1140" w:left="920" w:header="0" w:footer="955" w:gutter="0"/>
          <w:cols w:space="720"/>
        </w:sectPr>
      </w:pPr>
    </w:p>
    <w:p w14:paraId="3D3B8BDB" w14:textId="77777777" w:rsidR="002B48AC" w:rsidRDefault="00BA26AA">
      <w:pPr>
        <w:pStyle w:val="Heading1"/>
        <w:ind w:right="637"/>
      </w:pPr>
      <w:r>
        <w:rPr>
          <w:color w:val="0087CE"/>
        </w:rPr>
        <w:lastRenderedPageBreak/>
        <w:t>Appendix</w:t>
      </w:r>
    </w:p>
    <w:p w14:paraId="3D3B8BDC" w14:textId="77777777" w:rsidR="002B48AC" w:rsidRDefault="00BA26AA">
      <w:pPr>
        <w:pStyle w:val="Heading2"/>
        <w:spacing w:before="480"/>
      </w:pPr>
      <w:r>
        <w:rPr>
          <w:color w:val="00497B"/>
        </w:rPr>
        <w:t>Baselines by</w:t>
      </w:r>
      <w:r>
        <w:rPr>
          <w:color w:val="00497B"/>
          <w:spacing w:val="-12"/>
        </w:rPr>
        <w:t xml:space="preserve"> </w:t>
      </w:r>
      <w:r>
        <w:rPr>
          <w:color w:val="00497B"/>
        </w:rPr>
        <w:t>measure</w:t>
      </w:r>
    </w:p>
    <w:p w14:paraId="3D3B8BDD" w14:textId="77777777" w:rsidR="002B48AC" w:rsidRDefault="002B48AC">
      <w:pPr>
        <w:pStyle w:val="BodyText"/>
        <w:spacing w:before="7"/>
        <w:rPr>
          <w:rFonts w:ascii="Calibri"/>
          <w:b/>
          <w:sz w:val="21"/>
        </w:rPr>
      </w:pPr>
    </w:p>
    <w:p w14:paraId="3D3B8BDE" w14:textId="77777777" w:rsidR="002B48AC" w:rsidRDefault="00BA26AA">
      <w:pPr>
        <w:pStyle w:val="ListParagraph"/>
        <w:numPr>
          <w:ilvl w:val="0"/>
          <w:numId w:val="1"/>
        </w:numPr>
        <w:tabs>
          <w:tab w:val="left" w:pos="880"/>
          <w:tab w:val="left" w:pos="881"/>
        </w:tabs>
        <w:ind w:right="462"/>
      </w:pPr>
      <w:r>
        <w:t>WY CME baselines continue as below and will be recalculated at the end of 12 months</w:t>
      </w:r>
      <w:r>
        <w:rPr>
          <w:spacing w:val="-30"/>
        </w:rPr>
        <w:t xml:space="preserve"> </w:t>
      </w:r>
      <w:r>
        <w:t>of data.</w:t>
      </w:r>
    </w:p>
    <w:p w14:paraId="3D3B8BDF" w14:textId="77777777" w:rsidR="002B48AC" w:rsidRDefault="00BA26AA">
      <w:pPr>
        <w:pStyle w:val="ListParagraph"/>
        <w:numPr>
          <w:ilvl w:val="0"/>
          <w:numId w:val="1"/>
        </w:numPr>
        <w:tabs>
          <w:tab w:val="left" w:pos="880"/>
          <w:tab w:val="left" w:pos="881"/>
        </w:tabs>
        <w:spacing w:line="268" w:lineRule="exact"/>
        <w:ind w:hanging="361"/>
      </w:pPr>
      <w:r>
        <w:t>Provider baselines to be recalculated at the end of 12 months of</w:t>
      </w:r>
      <w:r>
        <w:rPr>
          <w:spacing w:val="-11"/>
        </w:rPr>
        <w:t xml:space="preserve"> </w:t>
      </w:r>
      <w:r>
        <w:t>data.</w:t>
      </w:r>
    </w:p>
    <w:p w14:paraId="3D3B8BE0" w14:textId="77777777" w:rsidR="002B48AC" w:rsidRDefault="00BA26AA">
      <w:pPr>
        <w:pStyle w:val="Heading2"/>
        <w:spacing w:before="201"/>
      </w:pPr>
      <w:r>
        <w:rPr>
          <w:color w:val="00497B"/>
        </w:rPr>
        <w:t>Measures Index</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601"/>
        <w:gridCol w:w="2340"/>
        <w:gridCol w:w="2336"/>
      </w:tblGrid>
      <w:tr w:rsidR="002B48AC" w14:paraId="3D3B8BE7" w14:textId="77777777">
        <w:trPr>
          <w:trHeight w:val="537"/>
        </w:trPr>
        <w:tc>
          <w:tcPr>
            <w:tcW w:w="1800" w:type="dxa"/>
            <w:shd w:val="clear" w:color="auto" w:fill="9BC2E6"/>
          </w:tcPr>
          <w:p w14:paraId="3D3B8BE1" w14:textId="77777777" w:rsidR="002B48AC" w:rsidRDefault="00BA26AA">
            <w:pPr>
              <w:pStyle w:val="TableParagraph"/>
              <w:spacing w:before="133"/>
              <w:ind w:left="107"/>
            </w:pPr>
            <w:r>
              <w:t>Construct</w:t>
            </w:r>
          </w:p>
        </w:tc>
        <w:tc>
          <w:tcPr>
            <w:tcW w:w="3601" w:type="dxa"/>
            <w:shd w:val="clear" w:color="auto" w:fill="9BC2E6"/>
          </w:tcPr>
          <w:p w14:paraId="3D3B8BE2" w14:textId="77777777" w:rsidR="002B48AC" w:rsidRDefault="00BA26AA">
            <w:pPr>
              <w:pStyle w:val="TableParagraph"/>
              <w:spacing w:before="133"/>
              <w:ind w:left="1385" w:right="1375"/>
              <w:jc w:val="center"/>
            </w:pPr>
            <w:r>
              <w:t>Measure</w:t>
            </w:r>
          </w:p>
        </w:tc>
        <w:tc>
          <w:tcPr>
            <w:tcW w:w="2340" w:type="dxa"/>
            <w:shd w:val="clear" w:color="auto" w:fill="9BC2E6"/>
          </w:tcPr>
          <w:p w14:paraId="3D3B8BE3" w14:textId="77777777" w:rsidR="002B48AC" w:rsidRDefault="00BA26AA">
            <w:pPr>
              <w:pStyle w:val="TableParagraph"/>
              <w:spacing w:line="268" w:lineRule="exact"/>
              <w:ind w:left="386"/>
            </w:pPr>
            <w:r>
              <w:t>WY CME Baseline</w:t>
            </w:r>
          </w:p>
          <w:p w14:paraId="3D3B8BE4" w14:textId="77777777" w:rsidR="002B48AC" w:rsidRDefault="00BA26AA">
            <w:pPr>
              <w:pStyle w:val="TableParagraph"/>
              <w:spacing w:before="1" w:line="249" w:lineRule="exact"/>
              <w:ind w:left="470"/>
            </w:pPr>
            <w:r>
              <w:t>Interval current</w:t>
            </w:r>
          </w:p>
        </w:tc>
        <w:tc>
          <w:tcPr>
            <w:tcW w:w="2336" w:type="dxa"/>
            <w:shd w:val="clear" w:color="auto" w:fill="9BC2E6"/>
          </w:tcPr>
          <w:p w14:paraId="3D3B8BE5" w14:textId="77777777" w:rsidR="002B48AC" w:rsidRDefault="00BA26AA">
            <w:pPr>
              <w:pStyle w:val="TableParagraph"/>
              <w:spacing w:line="268" w:lineRule="exact"/>
              <w:ind w:left="187"/>
            </w:pPr>
            <w:r>
              <w:t>WY CME and</w:t>
            </w:r>
            <w:r>
              <w:rPr>
                <w:spacing w:val="-3"/>
              </w:rPr>
              <w:t xml:space="preserve"> </w:t>
            </w:r>
            <w:r>
              <w:t>Provider</w:t>
            </w:r>
          </w:p>
          <w:p w14:paraId="3D3B8BE6" w14:textId="77777777" w:rsidR="002B48AC" w:rsidRDefault="00BA26AA">
            <w:pPr>
              <w:pStyle w:val="TableParagraph"/>
              <w:spacing w:before="1" w:line="249" w:lineRule="exact"/>
              <w:ind w:left="197"/>
            </w:pPr>
            <w:r>
              <w:t>New Baseline</w:t>
            </w:r>
            <w:r>
              <w:rPr>
                <w:spacing w:val="-2"/>
              </w:rPr>
              <w:t xml:space="preserve"> </w:t>
            </w:r>
            <w:r>
              <w:t>Interval</w:t>
            </w:r>
          </w:p>
        </w:tc>
      </w:tr>
      <w:tr w:rsidR="002B48AC" w14:paraId="3D3B8BEC" w14:textId="77777777">
        <w:trPr>
          <w:trHeight w:val="340"/>
        </w:trPr>
        <w:tc>
          <w:tcPr>
            <w:tcW w:w="1800" w:type="dxa"/>
            <w:shd w:val="clear" w:color="auto" w:fill="FFD100"/>
          </w:tcPr>
          <w:p w14:paraId="3D3B8BE8" w14:textId="77777777" w:rsidR="002B48AC" w:rsidRDefault="00BA26AA">
            <w:pPr>
              <w:pStyle w:val="TableParagraph"/>
              <w:spacing w:before="35"/>
              <w:ind w:left="107"/>
              <w:rPr>
                <w:b/>
              </w:rPr>
            </w:pPr>
            <w:r>
              <w:rPr>
                <w:b/>
              </w:rPr>
              <w:t>Quality Process</w:t>
            </w:r>
          </w:p>
        </w:tc>
        <w:tc>
          <w:tcPr>
            <w:tcW w:w="3601" w:type="dxa"/>
          </w:tcPr>
          <w:p w14:paraId="3D3B8BE9" w14:textId="77777777" w:rsidR="002B48AC" w:rsidRDefault="00BA26AA">
            <w:pPr>
              <w:pStyle w:val="TableParagraph"/>
              <w:spacing w:before="35"/>
              <w:ind w:left="108"/>
              <w:rPr>
                <w:b/>
              </w:rPr>
            </w:pPr>
            <w:r>
              <w:rPr>
                <w:b/>
              </w:rPr>
              <w:t>Minimum Contacts per Member</w:t>
            </w:r>
          </w:p>
        </w:tc>
        <w:tc>
          <w:tcPr>
            <w:tcW w:w="2340" w:type="dxa"/>
          </w:tcPr>
          <w:p w14:paraId="3D3B8BEA" w14:textId="77777777" w:rsidR="002B48AC" w:rsidRPr="0000710E" w:rsidRDefault="00BA26AA">
            <w:pPr>
              <w:pStyle w:val="TableParagraph"/>
              <w:spacing w:before="35"/>
              <w:ind w:left="185"/>
              <w:rPr>
                <w:b/>
              </w:rPr>
            </w:pPr>
            <w:r w:rsidRPr="0000710E">
              <w:rPr>
                <w:b/>
              </w:rPr>
              <w:t>July 2018 – June 2019</w:t>
            </w:r>
          </w:p>
        </w:tc>
        <w:tc>
          <w:tcPr>
            <w:tcW w:w="2336" w:type="dxa"/>
          </w:tcPr>
          <w:p w14:paraId="3D3B8BEB" w14:textId="77777777" w:rsidR="002B48AC" w:rsidRPr="0000710E" w:rsidRDefault="00BA26AA">
            <w:pPr>
              <w:pStyle w:val="TableParagraph"/>
              <w:spacing w:before="35"/>
              <w:ind w:left="227" w:right="216"/>
              <w:jc w:val="center"/>
              <w:rPr>
                <w:b/>
              </w:rPr>
            </w:pPr>
            <w:r w:rsidRPr="0000710E">
              <w:rPr>
                <w:b/>
              </w:rPr>
              <w:t>Jan 2021 – Dec 2021</w:t>
            </w:r>
          </w:p>
        </w:tc>
      </w:tr>
      <w:tr w:rsidR="002B48AC" w14:paraId="3D3B8BF2" w14:textId="77777777">
        <w:trPr>
          <w:trHeight w:val="537"/>
        </w:trPr>
        <w:tc>
          <w:tcPr>
            <w:tcW w:w="1800" w:type="dxa"/>
            <w:shd w:val="clear" w:color="auto" w:fill="FFD100"/>
          </w:tcPr>
          <w:p w14:paraId="3D3B8BED" w14:textId="77777777" w:rsidR="002B48AC" w:rsidRDefault="00BA26AA">
            <w:pPr>
              <w:pStyle w:val="TableParagraph"/>
              <w:spacing w:before="133"/>
              <w:ind w:left="107"/>
              <w:rPr>
                <w:b/>
              </w:rPr>
            </w:pPr>
            <w:r>
              <w:rPr>
                <w:b/>
              </w:rPr>
              <w:t>Quality Process</w:t>
            </w:r>
          </w:p>
        </w:tc>
        <w:tc>
          <w:tcPr>
            <w:tcW w:w="3601" w:type="dxa"/>
          </w:tcPr>
          <w:p w14:paraId="3D3B8BEE" w14:textId="77777777" w:rsidR="002B48AC" w:rsidRDefault="00BA26AA">
            <w:pPr>
              <w:pStyle w:val="TableParagraph"/>
              <w:spacing w:line="268" w:lineRule="exact"/>
              <w:ind w:left="108"/>
              <w:rPr>
                <w:b/>
              </w:rPr>
            </w:pPr>
            <w:r>
              <w:rPr>
                <w:b/>
              </w:rPr>
              <w:t>HFWA Average Length of Stay</w:t>
            </w:r>
          </w:p>
          <w:p w14:paraId="3D3B8BEF" w14:textId="77777777" w:rsidR="002B48AC" w:rsidRDefault="00BA26AA">
            <w:pPr>
              <w:pStyle w:val="TableParagraph"/>
              <w:spacing w:line="249" w:lineRule="exact"/>
              <w:ind w:left="108"/>
              <w:rPr>
                <w:b/>
              </w:rPr>
            </w:pPr>
            <w:r>
              <w:rPr>
                <w:b/>
              </w:rPr>
              <w:t>(ALOS)</w:t>
            </w:r>
          </w:p>
        </w:tc>
        <w:tc>
          <w:tcPr>
            <w:tcW w:w="2340" w:type="dxa"/>
          </w:tcPr>
          <w:p w14:paraId="3D3B8BF0" w14:textId="77777777" w:rsidR="002B48AC" w:rsidRPr="0000710E" w:rsidRDefault="00BA26AA">
            <w:pPr>
              <w:pStyle w:val="TableParagraph"/>
              <w:spacing w:before="133"/>
              <w:ind w:left="185"/>
              <w:rPr>
                <w:b/>
              </w:rPr>
            </w:pPr>
            <w:r w:rsidRPr="0000710E">
              <w:rPr>
                <w:b/>
              </w:rPr>
              <w:t>July 2018 – June 2019</w:t>
            </w:r>
          </w:p>
        </w:tc>
        <w:tc>
          <w:tcPr>
            <w:tcW w:w="2336" w:type="dxa"/>
          </w:tcPr>
          <w:p w14:paraId="3D3B8BF1" w14:textId="77777777" w:rsidR="002B48AC" w:rsidRPr="0000710E" w:rsidRDefault="00BA26AA">
            <w:pPr>
              <w:pStyle w:val="TableParagraph"/>
              <w:spacing w:before="133"/>
              <w:ind w:left="227" w:right="216"/>
              <w:jc w:val="center"/>
              <w:rPr>
                <w:b/>
              </w:rPr>
            </w:pPr>
            <w:r w:rsidRPr="0000710E">
              <w:rPr>
                <w:b/>
              </w:rPr>
              <w:t>Jan 2021 – Dec 2021</w:t>
            </w:r>
          </w:p>
        </w:tc>
      </w:tr>
      <w:tr w:rsidR="002B48AC" w14:paraId="3D3B8BF7" w14:textId="77777777">
        <w:trPr>
          <w:trHeight w:val="441"/>
        </w:trPr>
        <w:tc>
          <w:tcPr>
            <w:tcW w:w="1800" w:type="dxa"/>
            <w:shd w:val="clear" w:color="auto" w:fill="FFD100"/>
          </w:tcPr>
          <w:p w14:paraId="3D3B8BF3" w14:textId="77777777" w:rsidR="002B48AC" w:rsidRDefault="00BA26AA">
            <w:pPr>
              <w:pStyle w:val="TableParagraph"/>
              <w:spacing w:before="85"/>
              <w:ind w:left="107"/>
              <w:rPr>
                <w:b/>
              </w:rPr>
            </w:pPr>
            <w:r>
              <w:rPr>
                <w:b/>
              </w:rPr>
              <w:t>Quality Process</w:t>
            </w:r>
          </w:p>
        </w:tc>
        <w:tc>
          <w:tcPr>
            <w:tcW w:w="3601" w:type="dxa"/>
          </w:tcPr>
          <w:p w14:paraId="3D3B8BF4" w14:textId="77777777" w:rsidR="002B48AC" w:rsidRDefault="00BA26AA">
            <w:pPr>
              <w:pStyle w:val="TableParagraph"/>
              <w:spacing w:before="85"/>
              <w:ind w:left="108"/>
              <w:rPr>
                <w:b/>
              </w:rPr>
            </w:pPr>
            <w:r>
              <w:rPr>
                <w:b/>
              </w:rPr>
              <w:t>Engagement and Implementation</w:t>
            </w:r>
          </w:p>
        </w:tc>
        <w:tc>
          <w:tcPr>
            <w:tcW w:w="2340" w:type="dxa"/>
          </w:tcPr>
          <w:p w14:paraId="3D3B8BF5" w14:textId="77777777" w:rsidR="002B48AC" w:rsidRPr="0000710E" w:rsidRDefault="00BA26AA">
            <w:pPr>
              <w:pStyle w:val="TableParagraph"/>
              <w:spacing w:before="85"/>
              <w:ind w:left="185"/>
              <w:rPr>
                <w:b/>
              </w:rPr>
            </w:pPr>
            <w:r w:rsidRPr="0000710E">
              <w:rPr>
                <w:b/>
              </w:rPr>
              <w:t>July 2018 – June 2019</w:t>
            </w:r>
          </w:p>
        </w:tc>
        <w:tc>
          <w:tcPr>
            <w:tcW w:w="2336" w:type="dxa"/>
          </w:tcPr>
          <w:p w14:paraId="3D3B8BF6" w14:textId="77777777" w:rsidR="002B48AC" w:rsidRPr="0000710E" w:rsidRDefault="00BA26AA">
            <w:pPr>
              <w:pStyle w:val="TableParagraph"/>
              <w:spacing w:before="85"/>
              <w:ind w:left="227" w:right="216"/>
              <w:jc w:val="center"/>
              <w:rPr>
                <w:b/>
              </w:rPr>
            </w:pPr>
            <w:r w:rsidRPr="0000710E">
              <w:rPr>
                <w:b/>
              </w:rPr>
              <w:t>Jan 2021 – Dec 2021</w:t>
            </w:r>
          </w:p>
        </w:tc>
      </w:tr>
      <w:tr w:rsidR="002B48AC" w14:paraId="3D3B8BFC" w14:textId="77777777">
        <w:trPr>
          <w:trHeight w:val="402"/>
        </w:trPr>
        <w:tc>
          <w:tcPr>
            <w:tcW w:w="1800" w:type="dxa"/>
            <w:shd w:val="clear" w:color="auto" w:fill="BED22B"/>
          </w:tcPr>
          <w:p w14:paraId="3D3B8BF8" w14:textId="77777777" w:rsidR="002B48AC" w:rsidRDefault="00BA26AA">
            <w:pPr>
              <w:pStyle w:val="TableParagraph"/>
              <w:spacing w:before="66"/>
              <w:ind w:left="107"/>
              <w:rPr>
                <w:b/>
              </w:rPr>
            </w:pPr>
            <w:r>
              <w:rPr>
                <w:b/>
              </w:rPr>
              <w:t>Fidelity</w:t>
            </w:r>
          </w:p>
        </w:tc>
        <w:tc>
          <w:tcPr>
            <w:tcW w:w="3601" w:type="dxa"/>
          </w:tcPr>
          <w:p w14:paraId="3D3B8BF9" w14:textId="77777777" w:rsidR="002B48AC" w:rsidRDefault="00BA26AA">
            <w:pPr>
              <w:pStyle w:val="TableParagraph"/>
              <w:spacing w:before="66"/>
              <w:ind w:left="108"/>
              <w:rPr>
                <w:b/>
              </w:rPr>
            </w:pPr>
            <w:r>
              <w:rPr>
                <w:b/>
              </w:rPr>
              <w:t>WFI-EZ Family Surveys</w:t>
            </w:r>
          </w:p>
        </w:tc>
        <w:tc>
          <w:tcPr>
            <w:tcW w:w="2340" w:type="dxa"/>
          </w:tcPr>
          <w:p w14:paraId="3D3B8BFA" w14:textId="77777777" w:rsidR="002B48AC" w:rsidRPr="0000710E" w:rsidRDefault="00BA26AA">
            <w:pPr>
              <w:pStyle w:val="TableParagraph"/>
              <w:spacing w:before="66"/>
              <w:ind w:left="878" w:right="869"/>
              <w:jc w:val="center"/>
              <w:rPr>
                <w:b/>
              </w:rPr>
            </w:pPr>
            <w:r w:rsidRPr="0000710E">
              <w:rPr>
                <w:b/>
              </w:rPr>
              <w:t>70% *</w:t>
            </w:r>
          </w:p>
        </w:tc>
        <w:tc>
          <w:tcPr>
            <w:tcW w:w="2336" w:type="dxa"/>
          </w:tcPr>
          <w:p w14:paraId="3D3B8BFB" w14:textId="77777777" w:rsidR="002B48AC" w:rsidRPr="0000710E" w:rsidRDefault="00BA26AA">
            <w:pPr>
              <w:pStyle w:val="TableParagraph"/>
              <w:spacing w:before="66"/>
              <w:ind w:left="7"/>
              <w:jc w:val="center"/>
              <w:rPr>
                <w:b/>
              </w:rPr>
            </w:pPr>
            <w:r w:rsidRPr="0000710E">
              <w:rPr>
                <w:b/>
              </w:rPr>
              <w:t>*</w:t>
            </w:r>
          </w:p>
        </w:tc>
      </w:tr>
      <w:tr w:rsidR="002B48AC" w14:paraId="3D3B8C01" w14:textId="77777777">
        <w:trPr>
          <w:trHeight w:val="458"/>
        </w:trPr>
        <w:tc>
          <w:tcPr>
            <w:tcW w:w="1800" w:type="dxa"/>
            <w:shd w:val="clear" w:color="auto" w:fill="00A9DF"/>
          </w:tcPr>
          <w:p w14:paraId="3D3B8BFD" w14:textId="77777777" w:rsidR="002B48AC" w:rsidRDefault="00BA26AA">
            <w:pPr>
              <w:pStyle w:val="TableParagraph"/>
              <w:spacing w:before="95"/>
              <w:ind w:left="107"/>
              <w:rPr>
                <w:b/>
              </w:rPr>
            </w:pPr>
            <w:r>
              <w:rPr>
                <w:b/>
              </w:rPr>
              <w:t>Efficiency</w:t>
            </w:r>
          </w:p>
        </w:tc>
        <w:tc>
          <w:tcPr>
            <w:tcW w:w="3601" w:type="dxa"/>
          </w:tcPr>
          <w:p w14:paraId="3D3B8BFE" w14:textId="77777777" w:rsidR="002B48AC" w:rsidRDefault="00BA26AA">
            <w:pPr>
              <w:pStyle w:val="TableParagraph"/>
              <w:spacing w:before="95"/>
              <w:ind w:left="108"/>
              <w:rPr>
                <w:b/>
              </w:rPr>
            </w:pPr>
            <w:r>
              <w:rPr>
                <w:b/>
              </w:rPr>
              <w:t>Authorization Documentation</w:t>
            </w:r>
          </w:p>
        </w:tc>
        <w:tc>
          <w:tcPr>
            <w:tcW w:w="2340" w:type="dxa"/>
          </w:tcPr>
          <w:p w14:paraId="3D3B8BFF" w14:textId="77777777" w:rsidR="002B48AC" w:rsidRPr="0000710E" w:rsidRDefault="00BA26AA">
            <w:pPr>
              <w:pStyle w:val="TableParagraph"/>
              <w:spacing w:before="95"/>
              <w:ind w:left="139"/>
              <w:rPr>
                <w:b/>
              </w:rPr>
            </w:pPr>
            <w:r w:rsidRPr="0000710E">
              <w:rPr>
                <w:b/>
              </w:rPr>
              <w:t>April 2018 – June 2018</w:t>
            </w:r>
          </w:p>
        </w:tc>
        <w:tc>
          <w:tcPr>
            <w:tcW w:w="2336" w:type="dxa"/>
          </w:tcPr>
          <w:p w14:paraId="3D3B8C00" w14:textId="77777777" w:rsidR="002B48AC" w:rsidRPr="0000710E" w:rsidRDefault="00BA26AA">
            <w:pPr>
              <w:pStyle w:val="TableParagraph"/>
              <w:spacing w:before="95"/>
              <w:ind w:left="227" w:right="216"/>
              <w:jc w:val="center"/>
              <w:rPr>
                <w:b/>
              </w:rPr>
            </w:pPr>
            <w:r w:rsidRPr="0000710E">
              <w:rPr>
                <w:b/>
              </w:rPr>
              <w:t>Jan 2021 – Dec 2021</w:t>
            </w:r>
          </w:p>
        </w:tc>
      </w:tr>
      <w:tr w:rsidR="002B48AC" w14:paraId="3D3B8C06" w14:textId="77777777">
        <w:trPr>
          <w:trHeight w:val="448"/>
        </w:trPr>
        <w:tc>
          <w:tcPr>
            <w:tcW w:w="1800" w:type="dxa"/>
            <w:shd w:val="clear" w:color="auto" w:fill="D64196"/>
          </w:tcPr>
          <w:p w14:paraId="3D3B8C02" w14:textId="77777777" w:rsidR="002B48AC" w:rsidRDefault="00BA26AA">
            <w:pPr>
              <w:pStyle w:val="TableParagraph"/>
              <w:spacing w:before="90"/>
              <w:ind w:left="107"/>
              <w:rPr>
                <w:b/>
              </w:rPr>
            </w:pPr>
            <w:r>
              <w:rPr>
                <w:b/>
              </w:rPr>
              <w:t>Outcome</w:t>
            </w:r>
          </w:p>
        </w:tc>
        <w:tc>
          <w:tcPr>
            <w:tcW w:w="3601" w:type="dxa"/>
          </w:tcPr>
          <w:p w14:paraId="3D3B8C03" w14:textId="77777777" w:rsidR="002B48AC" w:rsidRDefault="00BA26AA">
            <w:pPr>
              <w:pStyle w:val="TableParagraph"/>
              <w:spacing w:before="90"/>
              <w:ind w:left="108"/>
              <w:rPr>
                <w:b/>
              </w:rPr>
            </w:pPr>
            <w:r>
              <w:rPr>
                <w:b/>
              </w:rPr>
              <w:t>Improved Functioning (CANS)</w:t>
            </w:r>
          </w:p>
        </w:tc>
        <w:tc>
          <w:tcPr>
            <w:tcW w:w="2340" w:type="dxa"/>
          </w:tcPr>
          <w:p w14:paraId="3D3B8C04" w14:textId="77777777" w:rsidR="002B48AC" w:rsidRPr="0000710E" w:rsidRDefault="00BA26AA">
            <w:pPr>
              <w:pStyle w:val="TableParagraph"/>
              <w:spacing w:before="90"/>
              <w:ind w:left="878" w:right="866"/>
              <w:jc w:val="center"/>
              <w:rPr>
                <w:b/>
              </w:rPr>
            </w:pPr>
            <w:r w:rsidRPr="0000710E">
              <w:rPr>
                <w:b/>
              </w:rPr>
              <w:t>50%*</w:t>
            </w:r>
          </w:p>
        </w:tc>
        <w:tc>
          <w:tcPr>
            <w:tcW w:w="2336" w:type="dxa"/>
          </w:tcPr>
          <w:p w14:paraId="3D3B8C05" w14:textId="77777777" w:rsidR="002B48AC" w:rsidRPr="0000710E" w:rsidRDefault="00BA26AA">
            <w:pPr>
              <w:pStyle w:val="TableParagraph"/>
              <w:spacing w:before="90"/>
              <w:ind w:left="7"/>
              <w:jc w:val="center"/>
              <w:rPr>
                <w:b/>
              </w:rPr>
            </w:pPr>
            <w:r w:rsidRPr="0000710E">
              <w:rPr>
                <w:b/>
              </w:rPr>
              <w:t>*</w:t>
            </w:r>
          </w:p>
        </w:tc>
      </w:tr>
      <w:tr w:rsidR="002B48AC" w14:paraId="3D3B8C0B" w14:textId="77777777">
        <w:trPr>
          <w:trHeight w:val="523"/>
        </w:trPr>
        <w:tc>
          <w:tcPr>
            <w:tcW w:w="1800" w:type="dxa"/>
            <w:shd w:val="clear" w:color="auto" w:fill="D64196"/>
          </w:tcPr>
          <w:p w14:paraId="3D3B8C07" w14:textId="77777777" w:rsidR="002B48AC" w:rsidRDefault="00BA26AA">
            <w:pPr>
              <w:pStyle w:val="TableParagraph"/>
              <w:spacing w:before="126"/>
              <w:ind w:left="107"/>
              <w:rPr>
                <w:b/>
              </w:rPr>
            </w:pPr>
            <w:r>
              <w:rPr>
                <w:b/>
              </w:rPr>
              <w:t>Outcome</w:t>
            </w:r>
          </w:p>
        </w:tc>
        <w:tc>
          <w:tcPr>
            <w:tcW w:w="3601" w:type="dxa"/>
          </w:tcPr>
          <w:p w14:paraId="3D3B8C08" w14:textId="77777777" w:rsidR="002B48AC" w:rsidRDefault="00BA26AA">
            <w:pPr>
              <w:pStyle w:val="TableParagraph"/>
              <w:spacing w:before="126"/>
              <w:ind w:left="108"/>
              <w:rPr>
                <w:b/>
              </w:rPr>
            </w:pPr>
            <w:r>
              <w:rPr>
                <w:b/>
              </w:rPr>
              <w:t>Successful Graduation HFWA</w:t>
            </w:r>
          </w:p>
        </w:tc>
        <w:tc>
          <w:tcPr>
            <w:tcW w:w="2340" w:type="dxa"/>
          </w:tcPr>
          <w:p w14:paraId="3D3B8C09" w14:textId="77777777" w:rsidR="002B48AC" w:rsidRPr="0000710E" w:rsidRDefault="00BA26AA">
            <w:pPr>
              <w:pStyle w:val="TableParagraph"/>
              <w:spacing w:before="126"/>
              <w:ind w:left="185"/>
              <w:rPr>
                <w:b/>
              </w:rPr>
            </w:pPr>
            <w:r w:rsidRPr="0000710E">
              <w:rPr>
                <w:b/>
              </w:rPr>
              <w:t>July 2018 – June 2019</w:t>
            </w:r>
          </w:p>
        </w:tc>
        <w:tc>
          <w:tcPr>
            <w:tcW w:w="2336" w:type="dxa"/>
          </w:tcPr>
          <w:p w14:paraId="3D3B8C0A" w14:textId="77777777" w:rsidR="002B48AC" w:rsidRPr="0000710E" w:rsidRDefault="00BA26AA">
            <w:pPr>
              <w:pStyle w:val="TableParagraph"/>
              <w:spacing w:before="126"/>
              <w:ind w:left="227" w:right="216"/>
              <w:jc w:val="center"/>
              <w:rPr>
                <w:b/>
              </w:rPr>
            </w:pPr>
            <w:r w:rsidRPr="0000710E">
              <w:rPr>
                <w:b/>
              </w:rPr>
              <w:t>Jan 2021 – Dec 2021</w:t>
            </w:r>
          </w:p>
        </w:tc>
      </w:tr>
    </w:tbl>
    <w:p w14:paraId="3D3B8C0C" w14:textId="77777777" w:rsidR="002B48AC" w:rsidRDefault="00BA26AA">
      <w:pPr>
        <w:pStyle w:val="BodyText"/>
        <w:ind w:left="160"/>
      </w:pPr>
      <w:r>
        <w:t>*Baseline is goal specific to measure.</w:t>
      </w:r>
    </w:p>
    <w:sectPr w:rsidR="002B48AC">
      <w:pgSz w:w="12240" w:h="15840"/>
      <w:pgMar w:top="1480" w:right="960" w:bottom="1140" w:left="92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8C15" w14:textId="77777777" w:rsidR="00646067" w:rsidRDefault="00BA26AA">
      <w:r>
        <w:separator/>
      </w:r>
    </w:p>
  </w:endnote>
  <w:endnote w:type="continuationSeparator" w:id="0">
    <w:p w14:paraId="3D3B8C17" w14:textId="77777777" w:rsidR="00646067" w:rsidRDefault="00BA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74B7" w14:textId="77777777" w:rsidR="0030225B" w:rsidRDefault="0030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8C0F" w14:textId="52F8C220" w:rsidR="002B48AC" w:rsidRDefault="00BA26AA">
    <w:pPr>
      <w:pStyle w:val="BodyText"/>
      <w:spacing w:line="14" w:lineRule="auto"/>
      <w:rPr>
        <w:sz w:val="20"/>
      </w:rPr>
    </w:pPr>
    <w:r>
      <w:rPr>
        <w:noProof/>
      </w:rPr>
      <mc:AlternateContent>
        <mc:Choice Requires="wps">
          <w:drawing>
            <wp:anchor distT="0" distB="0" distL="114300" distR="114300" simplePos="0" relativeHeight="251297792" behindDoc="1" locked="0" layoutInCell="1" allowOverlap="1" wp14:anchorId="3D3B8C11" wp14:editId="75136890">
              <wp:simplePos x="0" y="0"/>
              <wp:positionH relativeFrom="page">
                <wp:posOffset>644056</wp:posOffset>
              </wp:positionH>
              <wp:positionV relativeFrom="page">
                <wp:posOffset>9414344</wp:posOffset>
              </wp:positionV>
              <wp:extent cx="5128591" cy="196215"/>
              <wp:effectExtent l="0" t="0" r="15240"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591"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8C15" w14:textId="08CA416E" w:rsidR="002B48AC" w:rsidRDefault="00BA26AA">
                          <w:pPr>
                            <w:spacing w:line="293" w:lineRule="exact"/>
                            <w:ind w:left="60"/>
                            <w:rPr>
                              <w:rFonts w:ascii="Calibri" w:hAnsi="Calibri"/>
                              <w:sz w:val="24"/>
                            </w:rPr>
                          </w:pPr>
                          <w:r>
                            <w:fldChar w:fldCharType="begin"/>
                          </w:r>
                          <w:r>
                            <w:rPr>
                              <w:sz w:val="21"/>
                            </w:rPr>
                            <w:instrText xml:space="preserve"> PAGE </w:instrText>
                          </w:r>
                          <w:r>
                            <w:fldChar w:fldCharType="separate"/>
                          </w:r>
                          <w:r>
                            <w:t>1</w:t>
                          </w:r>
                          <w:r>
                            <w:fldChar w:fldCharType="end"/>
                          </w:r>
                          <w:r>
                            <w:rPr>
                              <w:sz w:val="21"/>
                            </w:rPr>
                            <w:t xml:space="preserve">— </w:t>
                          </w:r>
                          <w:r>
                            <w:rPr>
                              <w:rFonts w:ascii="Calibri" w:hAnsi="Calibri"/>
                              <w:sz w:val="24"/>
                            </w:rPr>
                            <w:t xml:space="preserve">WY CME Scorecard Measure Specification Manual v. </w:t>
                          </w:r>
                          <w:r w:rsidR="0024408A">
                            <w:rPr>
                              <w:rFonts w:ascii="Calibri" w:hAnsi="Calibri"/>
                              <w:sz w:val="24"/>
                            </w:rPr>
                            <w:t>6 April202</w:t>
                          </w:r>
                          <w:r w:rsidR="0036786F">
                            <w:rPr>
                              <w:rFonts w:ascii="Calibri" w:hAnsi="Calibri"/>
                              <w:sz w:val="24"/>
                            </w:rPr>
                            <w:t xml:space="preserve">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8C11" id="_x0000_t202" coordsize="21600,21600" o:spt="202" path="m,l,21600r21600,l21600,xe">
              <v:stroke joinstyle="miter"/>
              <v:path gradientshapeok="t" o:connecttype="rect"/>
            </v:shapetype>
            <v:shape id="Text Box 2" o:spid="_x0000_s1026" type="#_x0000_t202" style="position:absolute;margin-left:50.7pt;margin-top:741.3pt;width:403.85pt;height:15.45pt;z-index:-2520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" filled="f" stroked="f">
              <v:textbox inset="0,0,0,0">
                <w:txbxContent>
                  <w:p w14:paraId="3D3B8C15" w14:textId="08CA416E" w:rsidR="002B48AC" w:rsidRDefault="00BA26AA">
                    <w:pPr>
                      <w:spacing w:line="293" w:lineRule="exact"/>
                      <w:ind w:left="60"/>
                      <w:rPr>
                        <w:rFonts w:ascii="Calibri" w:hAnsi="Calibri"/>
                        <w:sz w:val="24"/>
                      </w:rPr>
                    </w:pPr>
                    <w:r>
                      <w:fldChar w:fldCharType="begin"/>
                    </w:r>
                    <w:r>
                      <w:rPr>
                        <w:sz w:val="21"/>
                      </w:rPr>
                      <w:instrText xml:space="preserve"> PAGE </w:instrText>
                    </w:r>
                    <w:r>
                      <w:fldChar w:fldCharType="separate"/>
                    </w:r>
                    <w:r>
                      <w:t>1</w:t>
                    </w:r>
                    <w:r>
                      <w:fldChar w:fldCharType="end"/>
                    </w:r>
                    <w:r>
                      <w:rPr>
                        <w:sz w:val="21"/>
                      </w:rPr>
                      <w:t xml:space="preserve">— </w:t>
                    </w:r>
                    <w:r>
                      <w:rPr>
                        <w:rFonts w:ascii="Calibri" w:hAnsi="Calibri"/>
                        <w:sz w:val="24"/>
                      </w:rPr>
                      <w:t xml:space="preserve">WY CME Scorecard Measure Specification Manual v. </w:t>
                    </w:r>
                    <w:r w:rsidR="0024408A">
                      <w:rPr>
                        <w:rFonts w:ascii="Calibri" w:hAnsi="Calibri"/>
                        <w:sz w:val="24"/>
                      </w:rPr>
                      <w:t>6 April202</w:t>
                    </w:r>
                    <w:r w:rsidR="0036786F">
                      <w:rPr>
                        <w:rFonts w:ascii="Calibri" w:hAnsi="Calibri"/>
                        <w:sz w:val="24"/>
                      </w:rPr>
                      <w:t xml:space="preserve">2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5565" w14:textId="77777777" w:rsidR="0030225B" w:rsidRDefault="003022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8C10" w14:textId="55B2889A" w:rsidR="002B48AC" w:rsidRDefault="00BA26AA">
    <w:pPr>
      <w:pStyle w:val="BodyText"/>
      <w:spacing w:line="14" w:lineRule="auto"/>
      <w:rPr>
        <w:sz w:val="20"/>
      </w:rPr>
    </w:pPr>
    <w:r>
      <w:rPr>
        <w:noProof/>
      </w:rPr>
      <w:drawing>
        <wp:anchor distT="0" distB="0" distL="0" distR="0" simplePos="0" relativeHeight="251298816" behindDoc="1" locked="0" layoutInCell="1" allowOverlap="1" wp14:anchorId="3D3B8C12" wp14:editId="3D3B8C13">
          <wp:simplePos x="0" y="0"/>
          <wp:positionH relativeFrom="page">
            <wp:posOffset>5569584</wp:posOffset>
          </wp:positionH>
          <wp:positionV relativeFrom="page">
            <wp:posOffset>9324975</wp:posOffset>
          </wp:positionV>
          <wp:extent cx="1410335" cy="3657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10335" cy="365760"/>
                  </a:xfrm>
                  <a:prstGeom prst="rect">
                    <a:avLst/>
                  </a:prstGeom>
                </pic:spPr>
              </pic:pic>
            </a:graphicData>
          </a:graphic>
        </wp:anchor>
      </w:drawing>
    </w:r>
    <w:r>
      <w:rPr>
        <w:noProof/>
      </w:rPr>
      <mc:AlternateContent>
        <mc:Choice Requires="wps">
          <w:drawing>
            <wp:anchor distT="0" distB="0" distL="114300" distR="114300" simplePos="0" relativeHeight="251299840" behindDoc="1" locked="0" layoutInCell="1" allowOverlap="1" wp14:anchorId="3D3B8C14" wp14:editId="05A9947F">
              <wp:simplePos x="0" y="0"/>
              <wp:positionH relativeFrom="page">
                <wp:posOffset>647700</wp:posOffset>
              </wp:positionH>
              <wp:positionV relativeFrom="page">
                <wp:posOffset>9416415</wp:posOffset>
              </wp:positionV>
              <wp:extent cx="429895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8C16" w14:textId="12BCDA17" w:rsidR="002B48AC" w:rsidRDefault="00BA26AA">
                          <w:pPr>
                            <w:spacing w:line="293" w:lineRule="exact"/>
                            <w:ind w:left="60"/>
                            <w:rPr>
                              <w:rFonts w:ascii="Calibri" w:hAnsi="Calibri"/>
                              <w:sz w:val="24"/>
                            </w:rPr>
                          </w:pPr>
                          <w:r>
                            <w:fldChar w:fldCharType="begin"/>
                          </w:r>
                          <w:r>
                            <w:rPr>
                              <w:sz w:val="21"/>
                            </w:rPr>
                            <w:instrText xml:space="preserve"> PAGE </w:instrText>
                          </w:r>
                          <w:r>
                            <w:fldChar w:fldCharType="separate"/>
                          </w:r>
                          <w:r>
                            <w:t>2</w:t>
                          </w:r>
                          <w:r>
                            <w:fldChar w:fldCharType="end"/>
                          </w:r>
                          <w:r>
                            <w:rPr>
                              <w:sz w:val="21"/>
                            </w:rPr>
                            <w:t xml:space="preserve">— </w:t>
                          </w:r>
                          <w:r>
                            <w:rPr>
                              <w:rFonts w:ascii="Calibri" w:hAnsi="Calibri"/>
                              <w:sz w:val="24"/>
                            </w:rPr>
                            <w:t>WY CME Scorecard Measure Specification Manual v.</w:t>
                          </w:r>
                          <w:r w:rsidR="0050335E">
                            <w:rPr>
                              <w:rFonts w:ascii="Calibri" w:hAnsi="Calibri"/>
                              <w:sz w:val="24"/>
                            </w:rPr>
                            <w:t xml:space="preserve">7 </w:t>
                          </w:r>
                          <w:r w:rsidR="0030225B">
                            <w:rPr>
                              <w:rFonts w:ascii="Calibri" w:hAnsi="Calibri"/>
                              <w:sz w:val="24"/>
                            </w:rPr>
                            <w:t xml:space="preserve">June </w:t>
                          </w:r>
                          <w:r w:rsidR="0050335E">
                            <w:rPr>
                              <w:rFonts w:ascii="Calibri" w:hAnsi="Calibri"/>
                              <w:sz w:val="24"/>
                            </w:rPr>
                            <w:t xml:space="preserve">2022 </w:t>
                          </w:r>
                          <w:r>
                            <w:rPr>
                              <w:rFonts w:ascii="Calibri" w:hAnsi="Calibri"/>
                              <w:sz w:val="24"/>
                            </w:rPr>
                            <w:t>6/30/2021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B8C14" id="_x0000_t202" coordsize="21600,21600" o:spt="202" path="m,l,21600r21600,l21600,xe">
              <v:stroke joinstyle="miter"/>
              <v:path gradientshapeok="t" o:connecttype="rect"/>
            </v:shapetype>
            <v:shape id="Text Box 1" o:spid="_x0000_s1027" type="#_x0000_t202" style="position:absolute;margin-left:51pt;margin-top:741.45pt;width:338.5pt;height:15.4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" filled="f" stroked="f">
              <v:textbox inset="0,0,0,0">
                <w:txbxContent>
                  <w:p w14:paraId="3D3B8C16" w14:textId="12BCDA17" w:rsidR="002B48AC" w:rsidRDefault="00BA26AA">
                    <w:pPr>
                      <w:spacing w:line="293" w:lineRule="exact"/>
                      <w:ind w:left="60"/>
                      <w:rPr>
                        <w:rFonts w:ascii="Calibri" w:hAnsi="Calibri"/>
                        <w:sz w:val="24"/>
                      </w:rPr>
                    </w:pPr>
                    <w:r>
                      <w:fldChar w:fldCharType="begin"/>
                    </w:r>
                    <w:r>
                      <w:rPr>
                        <w:sz w:val="21"/>
                      </w:rPr>
                      <w:instrText xml:space="preserve"> PAGE </w:instrText>
                    </w:r>
                    <w:r>
                      <w:fldChar w:fldCharType="separate"/>
                    </w:r>
                    <w:r>
                      <w:t>2</w:t>
                    </w:r>
                    <w:r>
                      <w:fldChar w:fldCharType="end"/>
                    </w:r>
                    <w:r>
                      <w:rPr>
                        <w:sz w:val="21"/>
                      </w:rPr>
                      <w:t xml:space="preserve">— </w:t>
                    </w:r>
                    <w:r>
                      <w:rPr>
                        <w:rFonts w:ascii="Calibri" w:hAnsi="Calibri"/>
                        <w:sz w:val="24"/>
                      </w:rPr>
                      <w:t>WY CME Scorecard Measure Specification Manual v.</w:t>
                    </w:r>
                    <w:r w:rsidR="0050335E">
                      <w:rPr>
                        <w:rFonts w:ascii="Calibri" w:hAnsi="Calibri"/>
                        <w:sz w:val="24"/>
                      </w:rPr>
                      <w:t xml:space="preserve">7 </w:t>
                    </w:r>
                    <w:r w:rsidR="0030225B">
                      <w:rPr>
                        <w:rFonts w:ascii="Calibri" w:hAnsi="Calibri"/>
                        <w:sz w:val="24"/>
                      </w:rPr>
                      <w:t xml:space="preserve">June </w:t>
                    </w:r>
                    <w:r w:rsidR="0050335E">
                      <w:rPr>
                        <w:rFonts w:ascii="Calibri" w:hAnsi="Calibri"/>
                        <w:sz w:val="24"/>
                      </w:rPr>
                      <w:t xml:space="preserve">2022 </w:t>
                    </w:r>
                    <w:r>
                      <w:rPr>
                        <w:rFonts w:ascii="Calibri" w:hAnsi="Calibri"/>
                        <w:sz w:val="24"/>
                      </w:rPr>
                      <w:t>6/30/2021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8C11" w14:textId="77777777" w:rsidR="00646067" w:rsidRDefault="00BA26AA">
      <w:r>
        <w:separator/>
      </w:r>
    </w:p>
  </w:footnote>
  <w:footnote w:type="continuationSeparator" w:id="0">
    <w:p w14:paraId="3D3B8C13" w14:textId="77777777" w:rsidR="00646067" w:rsidRDefault="00BA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E1E2" w14:textId="77777777" w:rsidR="0030225B" w:rsidRDefault="00302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B18" w14:textId="77777777" w:rsidR="0030225B" w:rsidRDefault="00302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4C89" w14:textId="77777777" w:rsidR="0030225B" w:rsidRDefault="0030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72FEE"/>
    <w:multiLevelType w:val="hybridMultilevel"/>
    <w:tmpl w:val="1482FD0A"/>
    <w:lvl w:ilvl="0" w:tplc="077428FA">
      <w:numFmt w:val="bullet"/>
      <w:lvlText w:val=""/>
      <w:lvlJc w:val="left"/>
      <w:pPr>
        <w:ind w:left="880" w:hanging="360"/>
      </w:pPr>
      <w:rPr>
        <w:rFonts w:ascii="Symbol" w:eastAsia="Symbol" w:hAnsi="Symbol" w:cs="Symbol" w:hint="default"/>
        <w:w w:val="100"/>
        <w:sz w:val="22"/>
        <w:szCs w:val="22"/>
        <w:lang w:val="en-US" w:eastAsia="en-US" w:bidi="en-US"/>
      </w:rPr>
    </w:lvl>
    <w:lvl w:ilvl="1" w:tplc="6DEA02A6">
      <w:numFmt w:val="bullet"/>
      <w:lvlText w:val="•"/>
      <w:lvlJc w:val="left"/>
      <w:pPr>
        <w:ind w:left="1828" w:hanging="360"/>
      </w:pPr>
      <w:rPr>
        <w:rFonts w:hint="default"/>
        <w:lang w:val="en-US" w:eastAsia="en-US" w:bidi="en-US"/>
      </w:rPr>
    </w:lvl>
    <w:lvl w:ilvl="2" w:tplc="E956189E">
      <w:numFmt w:val="bullet"/>
      <w:lvlText w:val="•"/>
      <w:lvlJc w:val="left"/>
      <w:pPr>
        <w:ind w:left="2776" w:hanging="360"/>
      </w:pPr>
      <w:rPr>
        <w:rFonts w:hint="default"/>
        <w:lang w:val="en-US" w:eastAsia="en-US" w:bidi="en-US"/>
      </w:rPr>
    </w:lvl>
    <w:lvl w:ilvl="3" w:tplc="B2FA90C6">
      <w:numFmt w:val="bullet"/>
      <w:lvlText w:val="•"/>
      <w:lvlJc w:val="left"/>
      <w:pPr>
        <w:ind w:left="3724" w:hanging="360"/>
      </w:pPr>
      <w:rPr>
        <w:rFonts w:hint="default"/>
        <w:lang w:val="en-US" w:eastAsia="en-US" w:bidi="en-US"/>
      </w:rPr>
    </w:lvl>
    <w:lvl w:ilvl="4" w:tplc="A0EADA08">
      <w:numFmt w:val="bullet"/>
      <w:lvlText w:val="•"/>
      <w:lvlJc w:val="left"/>
      <w:pPr>
        <w:ind w:left="4672" w:hanging="360"/>
      </w:pPr>
      <w:rPr>
        <w:rFonts w:hint="default"/>
        <w:lang w:val="en-US" w:eastAsia="en-US" w:bidi="en-US"/>
      </w:rPr>
    </w:lvl>
    <w:lvl w:ilvl="5" w:tplc="0C3E19F4">
      <w:numFmt w:val="bullet"/>
      <w:lvlText w:val="•"/>
      <w:lvlJc w:val="left"/>
      <w:pPr>
        <w:ind w:left="5620" w:hanging="360"/>
      </w:pPr>
      <w:rPr>
        <w:rFonts w:hint="default"/>
        <w:lang w:val="en-US" w:eastAsia="en-US" w:bidi="en-US"/>
      </w:rPr>
    </w:lvl>
    <w:lvl w:ilvl="6" w:tplc="215AE814">
      <w:numFmt w:val="bullet"/>
      <w:lvlText w:val="•"/>
      <w:lvlJc w:val="left"/>
      <w:pPr>
        <w:ind w:left="6568" w:hanging="360"/>
      </w:pPr>
      <w:rPr>
        <w:rFonts w:hint="default"/>
        <w:lang w:val="en-US" w:eastAsia="en-US" w:bidi="en-US"/>
      </w:rPr>
    </w:lvl>
    <w:lvl w:ilvl="7" w:tplc="D20470E2">
      <w:numFmt w:val="bullet"/>
      <w:lvlText w:val="•"/>
      <w:lvlJc w:val="left"/>
      <w:pPr>
        <w:ind w:left="7516" w:hanging="360"/>
      </w:pPr>
      <w:rPr>
        <w:rFonts w:hint="default"/>
        <w:lang w:val="en-US" w:eastAsia="en-US" w:bidi="en-US"/>
      </w:rPr>
    </w:lvl>
    <w:lvl w:ilvl="8" w:tplc="F35A6366">
      <w:numFmt w:val="bullet"/>
      <w:lvlText w:val="•"/>
      <w:lvlJc w:val="left"/>
      <w:pPr>
        <w:ind w:left="8464" w:hanging="360"/>
      </w:pPr>
      <w:rPr>
        <w:rFonts w:hint="default"/>
        <w:lang w:val="en-US" w:eastAsia="en-US" w:bidi="en-US"/>
      </w:rPr>
    </w:lvl>
  </w:abstractNum>
  <w:abstractNum w:abstractNumId="1" w15:restartNumberingAfterBreak="0">
    <w:nsid w:val="4D823F6C"/>
    <w:multiLevelType w:val="hybridMultilevel"/>
    <w:tmpl w:val="C9DED382"/>
    <w:lvl w:ilvl="0" w:tplc="B456B896">
      <w:start w:val="1"/>
      <w:numFmt w:val="decimal"/>
      <w:lvlText w:val="%1."/>
      <w:lvlJc w:val="left"/>
      <w:pPr>
        <w:ind w:left="880" w:hanging="360"/>
        <w:jc w:val="left"/>
      </w:pPr>
      <w:rPr>
        <w:rFonts w:ascii="Century" w:eastAsia="Century" w:hAnsi="Century" w:cs="Century" w:hint="default"/>
        <w:spacing w:val="-1"/>
        <w:w w:val="100"/>
        <w:sz w:val="22"/>
        <w:szCs w:val="22"/>
        <w:lang w:val="en-US" w:eastAsia="en-US" w:bidi="en-US"/>
      </w:rPr>
    </w:lvl>
    <w:lvl w:ilvl="1" w:tplc="D4067240">
      <w:start w:val="1"/>
      <w:numFmt w:val="lowerLetter"/>
      <w:lvlText w:val="%2."/>
      <w:lvlJc w:val="left"/>
      <w:pPr>
        <w:ind w:left="1600" w:hanging="360"/>
        <w:jc w:val="left"/>
      </w:pPr>
      <w:rPr>
        <w:rFonts w:ascii="Century" w:eastAsia="Century" w:hAnsi="Century" w:cs="Century" w:hint="default"/>
        <w:spacing w:val="-1"/>
        <w:w w:val="100"/>
        <w:sz w:val="22"/>
        <w:szCs w:val="22"/>
        <w:lang w:val="en-US" w:eastAsia="en-US" w:bidi="en-US"/>
      </w:rPr>
    </w:lvl>
    <w:lvl w:ilvl="2" w:tplc="73808ADE">
      <w:numFmt w:val="bullet"/>
      <w:lvlText w:val="•"/>
      <w:lvlJc w:val="left"/>
      <w:pPr>
        <w:ind w:left="2573" w:hanging="360"/>
      </w:pPr>
      <w:rPr>
        <w:rFonts w:hint="default"/>
        <w:lang w:val="en-US" w:eastAsia="en-US" w:bidi="en-US"/>
      </w:rPr>
    </w:lvl>
    <w:lvl w:ilvl="3" w:tplc="FF144A98">
      <w:numFmt w:val="bullet"/>
      <w:lvlText w:val="•"/>
      <w:lvlJc w:val="left"/>
      <w:pPr>
        <w:ind w:left="3546" w:hanging="360"/>
      </w:pPr>
      <w:rPr>
        <w:rFonts w:hint="default"/>
        <w:lang w:val="en-US" w:eastAsia="en-US" w:bidi="en-US"/>
      </w:rPr>
    </w:lvl>
    <w:lvl w:ilvl="4" w:tplc="126E53EE">
      <w:numFmt w:val="bullet"/>
      <w:lvlText w:val="•"/>
      <w:lvlJc w:val="left"/>
      <w:pPr>
        <w:ind w:left="4520" w:hanging="360"/>
      </w:pPr>
      <w:rPr>
        <w:rFonts w:hint="default"/>
        <w:lang w:val="en-US" w:eastAsia="en-US" w:bidi="en-US"/>
      </w:rPr>
    </w:lvl>
    <w:lvl w:ilvl="5" w:tplc="5D10A9DC">
      <w:numFmt w:val="bullet"/>
      <w:lvlText w:val="•"/>
      <w:lvlJc w:val="left"/>
      <w:pPr>
        <w:ind w:left="5493" w:hanging="360"/>
      </w:pPr>
      <w:rPr>
        <w:rFonts w:hint="default"/>
        <w:lang w:val="en-US" w:eastAsia="en-US" w:bidi="en-US"/>
      </w:rPr>
    </w:lvl>
    <w:lvl w:ilvl="6" w:tplc="E132FCEE">
      <w:numFmt w:val="bullet"/>
      <w:lvlText w:val="•"/>
      <w:lvlJc w:val="left"/>
      <w:pPr>
        <w:ind w:left="6466" w:hanging="360"/>
      </w:pPr>
      <w:rPr>
        <w:rFonts w:hint="default"/>
        <w:lang w:val="en-US" w:eastAsia="en-US" w:bidi="en-US"/>
      </w:rPr>
    </w:lvl>
    <w:lvl w:ilvl="7" w:tplc="C5B0A2F2">
      <w:numFmt w:val="bullet"/>
      <w:lvlText w:val="•"/>
      <w:lvlJc w:val="left"/>
      <w:pPr>
        <w:ind w:left="7440" w:hanging="360"/>
      </w:pPr>
      <w:rPr>
        <w:rFonts w:hint="default"/>
        <w:lang w:val="en-US" w:eastAsia="en-US" w:bidi="en-US"/>
      </w:rPr>
    </w:lvl>
    <w:lvl w:ilvl="8" w:tplc="ADDC6B36">
      <w:numFmt w:val="bullet"/>
      <w:lvlText w:val="•"/>
      <w:lvlJc w:val="left"/>
      <w:pPr>
        <w:ind w:left="8413" w:hanging="360"/>
      </w:pPr>
      <w:rPr>
        <w:rFonts w:hint="default"/>
        <w:lang w:val="en-US" w:eastAsia="en-US" w:bidi="en-US"/>
      </w:rPr>
    </w:lvl>
  </w:abstractNum>
  <w:num w:numId="1" w16cid:durableId="1917207503">
    <w:abstractNumId w:val="0"/>
  </w:num>
  <w:num w:numId="2" w16cid:durableId="841164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AC"/>
    <w:rsid w:val="0000710E"/>
    <w:rsid w:val="00061E9C"/>
    <w:rsid w:val="0024408A"/>
    <w:rsid w:val="002B48AC"/>
    <w:rsid w:val="0030225B"/>
    <w:rsid w:val="0036786F"/>
    <w:rsid w:val="004F7F15"/>
    <w:rsid w:val="0050335E"/>
    <w:rsid w:val="00646067"/>
    <w:rsid w:val="00A2021B"/>
    <w:rsid w:val="00BA26AA"/>
    <w:rsid w:val="00BA45C2"/>
    <w:rsid w:val="00E7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8B31"/>
  <w15:docId w15:val="{B7E0755D-8DAD-4169-A248-6860F2D7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lang w:bidi="en-US"/>
    </w:rPr>
  </w:style>
  <w:style w:type="paragraph" w:styleId="Heading1">
    <w:name w:val="heading 1"/>
    <w:basedOn w:val="Normal"/>
    <w:uiPriority w:val="9"/>
    <w:qFormat/>
    <w:pPr>
      <w:spacing w:line="644" w:lineRule="exact"/>
      <w:ind w:left="678" w:right="639"/>
      <w:jc w:val="center"/>
      <w:outlineLvl w:val="0"/>
    </w:pPr>
    <w:rPr>
      <w:rFonts w:ascii="Calibri" w:eastAsia="Calibri" w:hAnsi="Calibri" w:cs="Calibri"/>
      <w:sz w:val="56"/>
      <w:szCs w:val="56"/>
    </w:rPr>
  </w:style>
  <w:style w:type="paragraph" w:styleId="Heading2">
    <w:name w:val="heading 2"/>
    <w:basedOn w:val="Normal"/>
    <w:uiPriority w:val="9"/>
    <w:unhideWhenUsed/>
    <w:qFormat/>
    <w:pPr>
      <w:ind w:left="160"/>
      <w:outlineLvl w:val="1"/>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1"/>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BA26AA"/>
    <w:pPr>
      <w:tabs>
        <w:tab w:val="center" w:pos="4680"/>
        <w:tab w:val="right" w:pos="9360"/>
      </w:tabs>
    </w:pPr>
  </w:style>
  <w:style w:type="character" w:customStyle="1" w:styleId="HeaderChar">
    <w:name w:val="Header Char"/>
    <w:basedOn w:val="DefaultParagraphFont"/>
    <w:link w:val="Header"/>
    <w:uiPriority w:val="99"/>
    <w:rsid w:val="00BA26AA"/>
    <w:rPr>
      <w:rFonts w:ascii="Century" w:eastAsia="Century" w:hAnsi="Century" w:cs="Century"/>
      <w:lang w:bidi="en-US"/>
    </w:rPr>
  </w:style>
  <w:style w:type="paragraph" w:styleId="Footer">
    <w:name w:val="footer"/>
    <w:basedOn w:val="Normal"/>
    <w:link w:val="FooterChar"/>
    <w:uiPriority w:val="99"/>
    <w:unhideWhenUsed/>
    <w:rsid w:val="00BA26AA"/>
    <w:pPr>
      <w:tabs>
        <w:tab w:val="center" w:pos="4680"/>
        <w:tab w:val="right" w:pos="9360"/>
      </w:tabs>
    </w:pPr>
  </w:style>
  <w:style w:type="character" w:customStyle="1" w:styleId="FooterChar">
    <w:name w:val="Footer Char"/>
    <w:basedOn w:val="DefaultParagraphFont"/>
    <w:link w:val="Footer"/>
    <w:uiPriority w:val="99"/>
    <w:rsid w:val="00BA26AA"/>
    <w:rPr>
      <w:rFonts w:ascii="Century" w:eastAsia="Century" w:hAnsi="Century" w:cs="Century"/>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Barbara A.</dc:creator>
  <cp:lastModifiedBy>Bodkins, Tina S.</cp:lastModifiedBy>
  <cp:revision>2</cp:revision>
  <dcterms:created xsi:type="dcterms:W3CDTF">2022-06-08T12:19:00Z</dcterms:created>
  <dcterms:modified xsi:type="dcterms:W3CDTF">2022-06-08T12:19:00Z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for Microsoft 365</vt:lpwstr>
  </property>
  <property fmtid="{D5CDD505-2E9C-101B-9397-08002B2CF9AE}" pid="4" name="LastSaved">
    <vt:filetime>2022-04-19T00:00:00Z</vt:filetime>
  </property>
  <property fmtid="{D5CDD505-2E9C-101B-9397-08002B2CF9AE}" pid="5" name="MSIP_Label_8be07fcc-3295-428b-88ad-2394f5c2a736_Enabled">
    <vt:lpwstr>true</vt:lpwstr>
  </property>
  <property fmtid="{D5CDD505-2E9C-101B-9397-08002B2CF9AE}" pid="6" name="MSIP_Label_8be07fcc-3295-428b-88ad-2394f5c2a736_SetDate">
    <vt:lpwstr>2022-04-19T13:05:04Z</vt:lpwstr>
  </property>
  <property fmtid="{D5CDD505-2E9C-101B-9397-08002B2CF9AE}" pid="7" name="MSIP_Label_8be07fcc-3295-428b-88ad-2394f5c2a736_Method">
    <vt:lpwstr>Standard</vt:lpwstr>
  </property>
  <property fmtid="{D5CDD505-2E9C-101B-9397-08002B2CF9AE}" pid="8" name="MSIP_Label_8be07fcc-3295-428b-88ad-2394f5c2a736_Name">
    <vt:lpwstr>Business Use</vt:lpwstr>
  </property>
  <property fmtid="{D5CDD505-2E9C-101B-9397-08002B2CF9AE}" pid="9" name="MSIP_Label_8be07fcc-3295-428b-88ad-2394f5c2a736_SiteId">
    <vt:lpwstr>a9df4fcb-7f39-49f4-9d70-1ee81b27a772</vt:lpwstr>
  </property>
  <property fmtid="{D5CDD505-2E9C-101B-9397-08002B2CF9AE}" pid="10" name="MSIP_Label_8be07fcc-3295-428b-88ad-2394f5c2a736_ActionId">
    <vt:lpwstr>a7405644-c8cb-4ee5-85df-f1bbe1b4d483</vt:lpwstr>
  </property>
  <property fmtid="{D5CDD505-2E9C-101B-9397-08002B2CF9AE}" pid="11" name="MSIP_Label_8be07fcc-3295-428b-88ad-2394f5c2a736_ContentBits">
    <vt:lpwstr>0</vt:lpwstr>
  </property>
</Properties>
</file>